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3E754" w14:textId="38FC9076" w:rsidR="00792CB9" w:rsidRPr="00926CE7" w:rsidRDefault="00941851" w:rsidP="00792CB9">
      <w:pPr>
        <w:jc w:val="center"/>
        <w:rPr>
          <w:b/>
        </w:rPr>
      </w:pPr>
      <w:r>
        <w:rPr>
          <w:b/>
        </w:rPr>
        <w:t>Procurement Notice</w:t>
      </w:r>
    </w:p>
    <w:p w14:paraId="5D3B30BC" w14:textId="61D62DB3" w:rsidR="00792CB9" w:rsidRPr="00926CE7" w:rsidRDefault="001D4126" w:rsidP="00792CB9">
      <w:pPr>
        <w:jc w:val="center"/>
        <w:rPr>
          <w:b/>
        </w:rPr>
      </w:pPr>
      <w:r>
        <w:rPr>
          <w:b/>
        </w:rPr>
        <w:t>Service Provider</w:t>
      </w:r>
      <w:r w:rsidR="00C922C3" w:rsidRPr="00926CE7">
        <w:rPr>
          <w:b/>
        </w:rPr>
        <w:t xml:space="preserve"> for </w:t>
      </w:r>
      <w:r w:rsidR="00225789" w:rsidRPr="00926CE7">
        <w:rPr>
          <w:b/>
        </w:rPr>
        <w:t xml:space="preserve">FY </w:t>
      </w:r>
      <w:r w:rsidR="00C922C3" w:rsidRPr="00926CE7">
        <w:rPr>
          <w:b/>
        </w:rPr>
        <w:t xml:space="preserve">2018 </w:t>
      </w:r>
      <w:r w:rsidR="00AB3E21">
        <w:rPr>
          <w:b/>
        </w:rPr>
        <w:t xml:space="preserve">USDA </w:t>
      </w:r>
      <w:r w:rsidR="00C922C3" w:rsidRPr="00926CE7">
        <w:rPr>
          <w:b/>
        </w:rPr>
        <w:t>Food for Progress Notice of Funding Opportunity</w:t>
      </w:r>
      <w:r w:rsidR="002A382D">
        <w:rPr>
          <w:b/>
        </w:rPr>
        <w:t xml:space="preserve"> (NOFO)</w:t>
      </w:r>
    </w:p>
    <w:p w14:paraId="42C9845F" w14:textId="77777777" w:rsidR="00792CB9" w:rsidRPr="00926CE7" w:rsidRDefault="00792CB9" w:rsidP="00792CB9">
      <w:pPr>
        <w:jc w:val="center"/>
      </w:pPr>
    </w:p>
    <w:p w14:paraId="47E815D1" w14:textId="1060B5B5" w:rsidR="00792CB9" w:rsidRPr="00926CE7" w:rsidRDefault="00792CB9" w:rsidP="00926CE7">
      <w:pPr>
        <w:jc w:val="left"/>
        <w:rPr>
          <w:bCs/>
        </w:rPr>
      </w:pPr>
      <w:r w:rsidRPr="00926CE7">
        <w:rPr>
          <w:b/>
        </w:rPr>
        <w:t xml:space="preserve">Issue Date: </w:t>
      </w:r>
      <w:r w:rsidRPr="00926CE7">
        <w:rPr>
          <w:b/>
        </w:rPr>
        <w:tab/>
      </w:r>
      <w:r w:rsidRPr="00926CE7">
        <w:rPr>
          <w:b/>
        </w:rPr>
        <w:tab/>
      </w:r>
      <w:r w:rsidRPr="00926CE7">
        <w:rPr>
          <w:b/>
        </w:rPr>
        <w:tab/>
      </w:r>
      <w:r w:rsidR="0083508C">
        <w:t xml:space="preserve">September </w:t>
      </w:r>
      <w:r w:rsidR="00E63C3B">
        <w:t>2</w:t>
      </w:r>
      <w:r w:rsidR="002F4D86">
        <w:t>6</w:t>
      </w:r>
      <w:r w:rsidR="00674B4C" w:rsidRPr="00926CE7">
        <w:rPr>
          <w:bCs/>
        </w:rPr>
        <w:t>, 2017</w:t>
      </w:r>
    </w:p>
    <w:p w14:paraId="2D99BC95" w14:textId="79100344" w:rsidR="00792CB9" w:rsidRPr="00926CE7" w:rsidRDefault="00792CB9" w:rsidP="00926CE7">
      <w:pPr>
        <w:jc w:val="left"/>
        <w:rPr>
          <w:bCs/>
        </w:rPr>
      </w:pPr>
      <w:r w:rsidRPr="00926CE7">
        <w:rPr>
          <w:b/>
        </w:rPr>
        <w:t>Closing Date:</w:t>
      </w:r>
      <w:r w:rsidRPr="00926CE7">
        <w:rPr>
          <w:b/>
        </w:rPr>
        <w:tab/>
      </w:r>
      <w:r w:rsidRPr="00926CE7">
        <w:rPr>
          <w:b/>
        </w:rPr>
        <w:tab/>
      </w:r>
      <w:r w:rsidRPr="00926CE7">
        <w:rPr>
          <w:b/>
        </w:rPr>
        <w:tab/>
      </w:r>
      <w:r w:rsidR="00E63C3B">
        <w:t>October 1</w:t>
      </w:r>
      <w:r w:rsidR="00674B4C" w:rsidRPr="00926CE7">
        <w:rPr>
          <w:bCs/>
        </w:rPr>
        <w:t>, 2017</w:t>
      </w:r>
    </w:p>
    <w:p w14:paraId="7DE468CE" w14:textId="11386DE2" w:rsidR="00792CB9" w:rsidRPr="00926CE7" w:rsidRDefault="004A6E1A" w:rsidP="00926CE7">
      <w:pPr>
        <w:jc w:val="left"/>
      </w:pPr>
      <w:r>
        <w:rPr>
          <w:b/>
        </w:rPr>
        <w:t>NOFO</w:t>
      </w:r>
      <w:r w:rsidR="00792CB9" w:rsidRPr="00926CE7">
        <w:rPr>
          <w:b/>
        </w:rPr>
        <w:t xml:space="preserve"> No:</w:t>
      </w:r>
      <w:r w:rsidR="00792CB9" w:rsidRPr="00926CE7">
        <w:rPr>
          <w:b/>
        </w:rPr>
        <w:tab/>
      </w:r>
      <w:r w:rsidR="00792CB9" w:rsidRPr="00926CE7">
        <w:rPr>
          <w:b/>
        </w:rPr>
        <w:tab/>
      </w:r>
      <w:r w:rsidR="00792CB9" w:rsidRPr="00926CE7">
        <w:rPr>
          <w:b/>
        </w:rPr>
        <w:tab/>
      </w:r>
      <w:r w:rsidR="00C922C3" w:rsidRPr="00926CE7">
        <w:t>USDA-FFPr-2018-0</w:t>
      </w:r>
      <w:r w:rsidR="005A45AD">
        <w:t>2</w:t>
      </w:r>
    </w:p>
    <w:p w14:paraId="3E95AE62" w14:textId="50892781" w:rsidR="00792CB9" w:rsidRPr="00926CE7" w:rsidRDefault="00792CB9" w:rsidP="00926CE7">
      <w:pPr>
        <w:jc w:val="left"/>
        <w:rPr>
          <w:b/>
        </w:rPr>
      </w:pPr>
      <w:r w:rsidRPr="00926CE7">
        <w:rPr>
          <w:b/>
        </w:rPr>
        <w:t>Place of Performance:</w:t>
      </w:r>
      <w:r w:rsidRPr="00926CE7">
        <w:rPr>
          <w:b/>
        </w:rPr>
        <w:tab/>
      </w:r>
      <w:r w:rsidR="00375144" w:rsidRPr="00926CE7">
        <w:rPr>
          <w:bCs/>
        </w:rPr>
        <w:t>Washington DC</w:t>
      </w:r>
    </w:p>
    <w:p w14:paraId="0F4FAFB5" w14:textId="20539F8B" w:rsidR="00792CB9" w:rsidRPr="00926CE7" w:rsidRDefault="00792CB9" w:rsidP="00926CE7">
      <w:pPr>
        <w:jc w:val="left"/>
        <w:rPr>
          <w:b/>
        </w:rPr>
      </w:pPr>
      <w:r w:rsidRPr="00926CE7">
        <w:rPr>
          <w:b/>
        </w:rPr>
        <w:t xml:space="preserve">Period of performance:  </w:t>
      </w:r>
      <w:r w:rsidR="00E845F9" w:rsidRPr="00926CE7">
        <w:rPr>
          <w:b/>
        </w:rPr>
        <w:tab/>
      </w:r>
      <w:r w:rsidR="0048110A" w:rsidRPr="00926CE7">
        <w:rPr>
          <w:bCs/>
        </w:rPr>
        <w:t xml:space="preserve">As agreed during </w:t>
      </w:r>
      <w:r w:rsidR="00FD3574">
        <w:rPr>
          <w:bCs/>
        </w:rPr>
        <w:t xml:space="preserve">the </w:t>
      </w:r>
      <w:r w:rsidR="0048110A" w:rsidRPr="00926CE7">
        <w:rPr>
          <w:bCs/>
        </w:rPr>
        <w:t>proposal development</w:t>
      </w:r>
    </w:p>
    <w:p w14:paraId="50546C8E" w14:textId="0D5B878E" w:rsidR="00792CB9" w:rsidRPr="00926CE7" w:rsidRDefault="00792CB9" w:rsidP="00A57E96">
      <w:pPr>
        <w:ind w:left="2880" w:hanging="2880"/>
        <w:jc w:val="left"/>
        <w:rPr>
          <w:b/>
        </w:rPr>
      </w:pPr>
      <w:r w:rsidRPr="00926CE7">
        <w:rPr>
          <w:b/>
        </w:rPr>
        <w:t xml:space="preserve">Application submission:  </w:t>
      </w:r>
      <w:r w:rsidR="00E845F9" w:rsidRPr="00926CE7">
        <w:rPr>
          <w:b/>
        </w:rPr>
        <w:tab/>
      </w:r>
      <w:r w:rsidR="000635D9">
        <w:rPr>
          <w:bCs/>
        </w:rPr>
        <w:t>Jessica Carroll</w:t>
      </w:r>
      <w:r w:rsidR="00CB06D5" w:rsidRPr="00926CE7">
        <w:rPr>
          <w:bCs/>
        </w:rPr>
        <w:t xml:space="preserve">, </w:t>
      </w:r>
      <w:r w:rsidR="000635D9">
        <w:rPr>
          <w:bCs/>
        </w:rPr>
        <w:t>Program Development Coordinator</w:t>
      </w:r>
      <w:r w:rsidR="00CB06D5" w:rsidRPr="00926CE7">
        <w:rPr>
          <w:bCs/>
        </w:rPr>
        <w:t xml:space="preserve">, </w:t>
      </w:r>
      <w:hyperlink r:id="rId11" w:history="1">
        <w:r w:rsidR="004406CE" w:rsidRPr="00944242">
          <w:rPr>
            <w:rStyle w:val="Hyperlink"/>
          </w:rPr>
          <w:t>jcarroll@cnfa.org</w:t>
        </w:r>
      </w:hyperlink>
      <w:r w:rsidR="004406CE">
        <w:rPr>
          <w:bCs/>
        </w:rPr>
        <w:t>, with a copy to Nino Kobakhidze, Business Development Manager, nkobakhidze@cnfa.org</w:t>
      </w:r>
    </w:p>
    <w:p w14:paraId="51D5764D" w14:textId="4CF3B852" w:rsidR="00B2359E" w:rsidRPr="00926CE7" w:rsidRDefault="008B4277" w:rsidP="00792CB9">
      <w:pPr>
        <w:rPr>
          <w:b/>
        </w:rPr>
      </w:pPr>
      <w:r>
        <w:rPr>
          <w:b/>
        </w:rPr>
        <w:t xml:space="preserve">1. </w:t>
      </w:r>
      <w:r w:rsidR="00B2359E" w:rsidRPr="00926CE7">
        <w:rPr>
          <w:b/>
        </w:rPr>
        <w:t>Background:</w:t>
      </w:r>
    </w:p>
    <w:p w14:paraId="77160999" w14:textId="77777777" w:rsidR="00E63C3B" w:rsidRDefault="00E63C3B" w:rsidP="00E63C3B">
      <w:r w:rsidRPr="003B56F2">
        <w:t xml:space="preserve">CNFA is a not-for-profit </w:t>
      </w:r>
      <w:r>
        <w:t xml:space="preserve">agricultural development </w:t>
      </w:r>
      <w:r w:rsidRPr="003B56F2">
        <w:t xml:space="preserve">organization </w:t>
      </w:r>
      <w:r>
        <w:t>headquartered</w:t>
      </w:r>
      <w:r w:rsidRPr="003B56F2">
        <w:t xml:space="preserve"> in Washington, DC </w:t>
      </w:r>
      <w:r>
        <w:t xml:space="preserve">and </w:t>
      </w:r>
      <w:r w:rsidRPr="003B56F2">
        <w:t xml:space="preserve">dedicated to </w:t>
      </w:r>
      <w:r w:rsidRPr="00330142">
        <w:t xml:space="preserve">increasing rural incomes by empowering farmers and rural entrepreneurs. </w:t>
      </w:r>
      <w:r w:rsidRPr="003B56F2">
        <w:t xml:space="preserve">CNFA assists smallholders </w:t>
      </w:r>
      <w:r>
        <w:t>to</w:t>
      </w:r>
      <w:r w:rsidRPr="003B56F2">
        <w:t xml:space="preserve"> increas</w:t>
      </w:r>
      <w:r>
        <w:t>e</w:t>
      </w:r>
      <w:r w:rsidRPr="003B56F2">
        <w:t xml:space="preserve"> household-level food security and nutrition through improved agricultural practices, introduction of new varieties, diversification of crop production, food preservation and storage, development of farmer-based organizations</w:t>
      </w:r>
      <w:r>
        <w:t>,</w:t>
      </w:r>
      <w:r w:rsidRPr="003B56F2">
        <w:t xml:space="preserve"> and strengthened linkages to markets. </w:t>
      </w:r>
      <w:r w:rsidRPr="00330142">
        <w:t>CNFA has a successful track record implementing agricultural devel</w:t>
      </w:r>
      <w:r>
        <w:t>opment programs in 43 countries</w:t>
      </w:r>
      <w:r w:rsidRPr="00330142">
        <w:t>.</w:t>
      </w:r>
    </w:p>
    <w:p w14:paraId="7CD3BE30" w14:textId="77777777" w:rsidR="00674B4C" w:rsidRPr="00926CE7" w:rsidRDefault="00674B4C" w:rsidP="00792CB9"/>
    <w:p w14:paraId="0A1BEB53" w14:textId="79B8E614" w:rsidR="00792CB9" w:rsidRPr="00A57E96" w:rsidRDefault="008B4277" w:rsidP="00792CB9">
      <w:pPr>
        <w:rPr>
          <w:b/>
        </w:rPr>
      </w:pPr>
      <w:r>
        <w:rPr>
          <w:b/>
        </w:rPr>
        <w:t xml:space="preserve">2. </w:t>
      </w:r>
      <w:r w:rsidR="00792CB9" w:rsidRPr="00926CE7">
        <w:rPr>
          <w:b/>
        </w:rPr>
        <w:t>Statement of Work:</w:t>
      </w:r>
    </w:p>
    <w:p w14:paraId="3983C8AD" w14:textId="0E576203" w:rsidR="00E63C3B" w:rsidRDefault="00E63C3B" w:rsidP="002A382D">
      <w:pPr>
        <w:spacing w:after="240"/>
      </w:pPr>
      <w:r>
        <w:t xml:space="preserve">CNFA is seeking the services of a service provider for a short- to medium-term assignment to support the development of a proposal for the FY 2018 </w:t>
      </w:r>
      <w:r w:rsidR="002F4D7B">
        <w:t>United States Department of Agriculture (USDA) Food for Progress (</w:t>
      </w:r>
      <w:proofErr w:type="spellStart"/>
      <w:r>
        <w:t>FFPr</w:t>
      </w:r>
      <w:proofErr w:type="spellEnd"/>
      <w:r w:rsidR="002F4D7B">
        <w:t>)</w:t>
      </w:r>
      <w:r>
        <w:t xml:space="preserve"> funding opportunity. </w:t>
      </w:r>
      <w:r w:rsidRPr="00926CE7">
        <w:t xml:space="preserve">The selected </w:t>
      </w:r>
      <w:r>
        <w:t xml:space="preserve">service provider </w:t>
      </w:r>
      <w:r w:rsidRPr="00926CE7">
        <w:t xml:space="preserve">will </w:t>
      </w:r>
      <w:r>
        <w:t xml:space="preserve">provide CNFA with a Lead Writer and a Technical Lead to </w:t>
      </w:r>
      <w:r w:rsidRPr="00926CE7">
        <w:t xml:space="preserve">develop </w:t>
      </w:r>
      <w:r>
        <w:t xml:space="preserve">the proposal in accordance with USDA rules, </w:t>
      </w:r>
      <w:r w:rsidRPr="00926CE7">
        <w:t>regulations</w:t>
      </w:r>
      <w:r>
        <w:t>,</w:t>
      </w:r>
      <w:r w:rsidRPr="00926CE7">
        <w:t xml:space="preserve"> and timeline. Country selection will be determined upon release of the USDA FY 2018 </w:t>
      </w:r>
      <w:r w:rsidR="002F4D7B">
        <w:t>Notice of Funding Opportunity (</w:t>
      </w:r>
      <w:r w:rsidRPr="00926CE7">
        <w:t>NOFO</w:t>
      </w:r>
      <w:r w:rsidR="002F4D7B">
        <w:t>)</w:t>
      </w:r>
      <w:r w:rsidRPr="00926CE7">
        <w:t xml:space="preserve">. Interested </w:t>
      </w:r>
      <w:r>
        <w:t xml:space="preserve">service providers </w:t>
      </w:r>
      <w:r w:rsidRPr="00926CE7">
        <w:t xml:space="preserve">should respond to this </w:t>
      </w:r>
      <w:r w:rsidR="002F4D7B">
        <w:t xml:space="preserve">solicitation </w:t>
      </w:r>
      <w:r w:rsidRPr="00926CE7">
        <w:t>by submitting</w:t>
      </w:r>
      <w:r>
        <w:t xml:space="preserve"> </w:t>
      </w:r>
      <w:r w:rsidRPr="00926CE7">
        <w:t xml:space="preserve">an </w:t>
      </w:r>
      <w:r>
        <w:t>application</w:t>
      </w:r>
      <w:r w:rsidRPr="00926CE7">
        <w:t xml:space="preserve"> by the due date above in compliance with the instructions</w:t>
      </w:r>
      <w:r>
        <w:t xml:space="preserve"> below</w:t>
      </w:r>
      <w:r w:rsidRPr="00926CE7">
        <w:t xml:space="preserve">. </w:t>
      </w:r>
    </w:p>
    <w:p w14:paraId="77409722" w14:textId="051328D9" w:rsidR="00792CB9" w:rsidRPr="002A382D" w:rsidRDefault="00E63C3B" w:rsidP="002A382D">
      <w:pPr>
        <w:spacing w:after="240"/>
      </w:pPr>
      <w:r>
        <w:t xml:space="preserve">The selected </w:t>
      </w:r>
      <w:r w:rsidR="002A382D">
        <w:t>consultants provided by the service pr</w:t>
      </w:r>
      <w:r>
        <w:t xml:space="preserve">ovider will work closely with CNFA staff from pre-solicitation through submission. </w:t>
      </w:r>
      <w:r w:rsidR="002F4D7B">
        <w:t xml:space="preserve">CNFA </w:t>
      </w:r>
      <w:r>
        <w:t>anticipate</w:t>
      </w:r>
      <w:r w:rsidR="002F4D7B">
        <w:t>s</w:t>
      </w:r>
      <w:r>
        <w:t xml:space="preserve"> the position</w:t>
      </w:r>
      <w:r w:rsidR="002A382D">
        <w:t>s</w:t>
      </w:r>
      <w:r>
        <w:t xml:space="preserve"> </w:t>
      </w:r>
      <w:r w:rsidR="002F4D7B">
        <w:t xml:space="preserve">to </w:t>
      </w:r>
      <w:r>
        <w:t>start immediately and continue through January 2018</w:t>
      </w:r>
      <w:r w:rsidR="00A50B9F">
        <w:t xml:space="preserve"> with the total level of effort of approximately 30 days for each</w:t>
      </w:r>
      <w:r>
        <w:t>. The selected consultant</w:t>
      </w:r>
      <w:r w:rsidR="002A382D">
        <w:t>s</w:t>
      </w:r>
      <w:r>
        <w:t xml:space="preserve"> will be required to travel to </w:t>
      </w:r>
      <w:r w:rsidR="00A50B9F">
        <w:t xml:space="preserve">Middle East and Northern Africa (MENA) and </w:t>
      </w:r>
      <w:r>
        <w:t>Eastern Europe on a mutually agreed timeline for this opportunity.</w:t>
      </w:r>
    </w:p>
    <w:p w14:paraId="51E9B0FC" w14:textId="571DF7AF" w:rsidR="0042646F" w:rsidRPr="00926CE7" w:rsidRDefault="008B4277" w:rsidP="0042646F">
      <w:pPr>
        <w:rPr>
          <w:b/>
        </w:rPr>
      </w:pPr>
      <w:r>
        <w:rPr>
          <w:b/>
        </w:rPr>
        <w:t xml:space="preserve">3. </w:t>
      </w:r>
      <w:r w:rsidR="00AF6FAB" w:rsidRPr="00926CE7">
        <w:rPr>
          <w:b/>
        </w:rPr>
        <w:t>Instructions</w:t>
      </w:r>
      <w:r w:rsidR="0042646F" w:rsidRPr="00926CE7">
        <w:rPr>
          <w:b/>
        </w:rPr>
        <w:t xml:space="preserve"> </w:t>
      </w:r>
      <w:r w:rsidR="00425CFE" w:rsidRPr="00926CE7">
        <w:rPr>
          <w:b/>
        </w:rPr>
        <w:t xml:space="preserve">and Requirements </w:t>
      </w:r>
      <w:r w:rsidR="0042646F" w:rsidRPr="00926CE7">
        <w:rPr>
          <w:b/>
        </w:rPr>
        <w:t xml:space="preserve">for </w:t>
      </w:r>
      <w:r w:rsidR="00314287">
        <w:rPr>
          <w:b/>
        </w:rPr>
        <w:t>Application</w:t>
      </w:r>
      <w:r w:rsidR="002A382D">
        <w:rPr>
          <w:b/>
        </w:rPr>
        <w:t xml:space="preserve"> Submission</w:t>
      </w:r>
      <w:r w:rsidR="0042646F" w:rsidRPr="00926CE7">
        <w:rPr>
          <w:b/>
        </w:rPr>
        <w:t>:</w:t>
      </w:r>
    </w:p>
    <w:p w14:paraId="19A489DA" w14:textId="77777777" w:rsidR="00792CB9" w:rsidRPr="00926CE7" w:rsidRDefault="00792CB9" w:rsidP="00792CB9">
      <w:pPr>
        <w:autoSpaceDE w:val="0"/>
        <w:autoSpaceDN w:val="0"/>
        <w:adjustRightInd w:val="0"/>
        <w:rPr>
          <w:rFonts w:eastAsia="Calibri"/>
        </w:rPr>
      </w:pPr>
    </w:p>
    <w:p w14:paraId="01CA6868" w14:textId="26ADE7CD" w:rsidR="00FA0F33" w:rsidRPr="00926CE7" w:rsidRDefault="00FA0F33" w:rsidP="002A382D">
      <w:pPr>
        <w:pStyle w:val="bullets"/>
        <w:numPr>
          <w:ilvl w:val="0"/>
          <w:numId w:val="25"/>
        </w:numPr>
        <w:rPr>
          <w:rFonts w:eastAsia="Times New Roman"/>
        </w:rPr>
      </w:pPr>
      <w:r>
        <w:t xml:space="preserve">A </w:t>
      </w:r>
      <w:r w:rsidRPr="00926CE7">
        <w:t>cover page</w:t>
      </w:r>
      <w:r>
        <w:t xml:space="preserve"> that includes</w:t>
      </w:r>
      <w:r w:rsidRPr="00926CE7">
        <w:t xml:space="preserve"> your </w:t>
      </w:r>
      <w:r>
        <w:t xml:space="preserve">organization’s </w:t>
      </w:r>
      <w:r w:rsidRPr="00926CE7">
        <w:t xml:space="preserve">name, address, and telephone number along with the date and </w:t>
      </w:r>
      <w:r w:rsidR="002F4D7B">
        <w:t>solicitation</w:t>
      </w:r>
      <w:r w:rsidR="002F4D7B" w:rsidRPr="00926CE7">
        <w:t xml:space="preserve"> </w:t>
      </w:r>
      <w:r w:rsidRPr="00926CE7">
        <w:t>number and signature of</w:t>
      </w:r>
      <w:r w:rsidRPr="00926CE7">
        <w:rPr>
          <w:rFonts w:eastAsia="Times New Roman"/>
        </w:rPr>
        <w:t xml:space="preserve"> an authorize</w:t>
      </w:r>
      <w:r>
        <w:rPr>
          <w:rFonts w:eastAsia="Times New Roman"/>
        </w:rPr>
        <w:t>d representative of the offeror</w:t>
      </w:r>
      <w:r w:rsidR="00DD504B">
        <w:rPr>
          <w:rFonts w:eastAsia="Times New Roman"/>
        </w:rPr>
        <w:t xml:space="preserve"> (Annex 1)</w:t>
      </w:r>
      <w:r w:rsidR="004A6E1A">
        <w:rPr>
          <w:rFonts w:eastAsia="Times New Roman"/>
        </w:rPr>
        <w:t>.</w:t>
      </w:r>
    </w:p>
    <w:p w14:paraId="60BA8E48" w14:textId="35E37542" w:rsidR="0058052D" w:rsidRDefault="00FA0F33" w:rsidP="002A382D">
      <w:pPr>
        <w:pStyle w:val="bullets"/>
        <w:numPr>
          <w:ilvl w:val="0"/>
          <w:numId w:val="25"/>
        </w:numPr>
      </w:pPr>
      <w:r>
        <w:t>A</w:t>
      </w:r>
      <w:r w:rsidR="00A15995" w:rsidRPr="00926CE7">
        <w:t xml:space="preserve"> brief overview</w:t>
      </w:r>
      <w:r w:rsidR="00A15995">
        <w:t xml:space="preserve"> </w:t>
      </w:r>
      <w:r w:rsidR="00A57E96">
        <w:t xml:space="preserve">of </w:t>
      </w:r>
      <w:r w:rsidR="00A15995">
        <w:t>your</w:t>
      </w:r>
      <w:r w:rsidR="00911552" w:rsidRPr="00926CE7">
        <w:t xml:space="preserve"> organizati</w:t>
      </w:r>
      <w:r w:rsidR="0058052D">
        <w:t>on and relevant past experience not to exceed three pages.</w:t>
      </w:r>
    </w:p>
    <w:p w14:paraId="6AC00210" w14:textId="6CFB112C" w:rsidR="00425CFE" w:rsidRDefault="0058052D" w:rsidP="002A382D">
      <w:pPr>
        <w:pStyle w:val="bullets"/>
        <w:numPr>
          <w:ilvl w:val="0"/>
          <w:numId w:val="25"/>
        </w:numPr>
      </w:pPr>
      <w:r>
        <w:t>A brief overview of</w:t>
      </w:r>
      <w:r w:rsidR="00911552" w:rsidRPr="00926CE7">
        <w:t xml:space="preserve"> personnel who will </w:t>
      </w:r>
      <w:r w:rsidR="00A15995">
        <w:t xml:space="preserve">serve as 1. </w:t>
      </w:r>
      <w:r w:rsidR="00416F69">
        <w:t xml:space="preserve">a </w:t>
      </w:r>
      <w:r w:rsidR="00A15995">
        <w:t xml:space="preserve">Lead Writer; and 2. </w:t>
      </w:r>
      <w:r>
        <w:t>a</w:t>
      </w:r>
      <w:r w:rsidR="00A15995">
        <w:t xml:space="preserve"> Technical Lead</w:t>
      </w:r>
      <w:r>
        <w:t xml:space="preserve"> not to exceed one page for each.</w:t>
      </w:r>
    </w:p>
    <w:p w14:paraId="68C4C88A" w14:textId="2A5EBF5A" w:rsidR="00A57E96" w:rsidRDefault="00A57E96" w:rsidP="002A382D">
      <w:pPr>
        <w:pStyle w:val="bullets"/>
        <w:numPr>
          <w:ilvl w:val="0"/>
          <w:numId w:val="25"/>
        </w:numPr>
      </w:pPr>
      <w:r>
        <w:t>Two CVs, not to exceed 3 pages each as an Annex</w:t>
      </w:r>
      <w:r w:rsidR="002B523D">
        <w:t xml:space="preserve"> A</w:t>
      </w:r>
      <w:r>
        <w:t xml:space="preserve">, listing the proposed staff’s work </w:t>
      </w:r>
      <w:r w:rsidR="0058052D">
        <w:t xml:space="preserve">and consulting </w:t>
      </w:r>
      <w:r>
        <w:t>experience, educational background</w:t>
      </w:r>
      <w:r w:rsidR="00B018E2">
        <w:t xml:space="preserve">, </w:t>
      </w:r>
      <w:r>
        <w:t>other relevant skills</w:t>
      </w:r>
      <w:r w:rsidR="00B018E2">
        <w:t>, and 3 references with the current position, organization name, relation to the candidate, an e-mail address and the best phone number</w:t>
      </w:r>
      <w:r>
        <w:t>.</w:t>
      </w:r>
    </w:p>
    <w:p w14:paraId="0FDFAF7F" w14:textId="5004B3B0" w:rsidR="002B523D" w:rsidRDefault="002B523D" w:rsidP="002A382D">
      <w:pPr>
        <w:pStyle w:val="bullets"/>
        <w:numPr>
          <w:ilvl w:val="0"/>
          <w:numId w:val="25"/>
        </w:numPr>
      </w:pPr>
      <w:r>
        <w:t>Authentic and original writing samples for each candidate proposed, not to exceed 10 pages for each submitted as an Annex B.</w:t>
      </w:r>
    </w:p>
    <w:p w14:paraId="6828CD16" w14:textId="77777777" w:rsidR="005E5AAD" w:rsidRDefault="005E5AAD" w:rsidP="002A382D">
      <w:pPr>
        <w:pStyle w:val="bullets"/>
        <w:numPr>
          <w:ilvl w:val="0"/>
          <w:numId w:val="25"/>
        </w:numPr>
      </w:pPr>
      <w:r>
        <w:t>Signed and filled in F</w:t>
      </w:r>
      <w:r w:rsidR="002B523D">
        <w:t>orms 1420 for each candidate proposed indicating their daily rate</w:t>
      </w:r>
      <w:r>
        <w:t xml:space="preserve"> submitted as an Annex C.</w:t>
      </w:r>
    </w:p>
    <w:p w14:paraId="28F903C1" w14:textId="78A25A78" w:rsidR="00AB3E21" w:rsidRPr="00926CE7" w:rsidRDefault="005E5AAD" w:rsidP="002A382D">
      <w:pPr>
        <w:pStyle w:val="bullets"/>
        <w:numPr>
          <w:ilvl w:val="0"/>
          <w:numId w:val="25"/>
        </w:numPr>
      </w:pPr>
      <w:r>
        <w:lastRenderedPageBreak/>
        <w:t xml:space="preserve">A budget for the proposed two candidates for 30 days’ level of effort for each plus any administrative fees the service provider would charge (broken out into line items and justified) submitted as an Annex D. CNFA will cover travel, per diem, and other travel related costs directly, as applicable.  </w:t>
      </w:r>
    </w:p>
    <w:p w14:paraId="512666AC" w14:textId="77777777" w:rsidR="00FA0F33" w:rsidRDefault="00FA0F33" w:rsidP="00FA0F33">
      <w:pPr>
        <w:pStyle w:val="bullets"/>
        <w:numPr>
          <w:ilvl w:val="0"/>
          <w:numId w:val="0"/>
        </w:numPr>
        <w:ind w:left="360"/>
      </w:pPr>
    </w:p>
    <w:p w14:paraId="59CCC312" w14:textId="418C2E02" w:rsidR="00425CFE" w:rsidRPr="00926CE7" w:rsidRDefault="00FA0F33" w:rsidP="004615A1">
      <w:r>
        <w:t xml:space="preserve">Applications </w:t>
      </w:r>
      <w:r w:rsidR="00425CFE" w:rsidRPr="00926CE7">
        <w:t xml:space="preserve">must be up to </w:t>
      </w:r>
      <w:r w:rsidR="0058052D">
        <w:t>six</w:t>
      </w:r>
      <w:r w:rsidR="00425CFE" w:rsidRPr="00926CE7">
        <w:t xml:space="preserve"> pages </w:t>
      </w:r>
      <w:r w:rsidR="00A57E96">
        <w:t>not to include the</w:t>
      </w:r>
      <w:r>
        <w:t xml:space="preserve"> Annex </w:t>
      </w:r>
      <w:r w:rsidR="008E0F5B">
        <w:t xml:space="preserve">for 2 CVs </w:t>
      </w:r>
      <w:r w:rsidR="00A57E96">
        <w:t>(</w:t>
      </w:r>
      <w:r>
        <w:t>3 pages</w:t>
      </w:r>
      <w:r w:rsidR="00A57E96">
        <w:t xml:space="preserve"> per CV)</w:t>
      </w:r>
      <w:r>
        <w:t xml:space="preserve">, </w:t>
      </w:r>
      <w:r w:rsidR="00425CFE" w:rsidRPr="00926CE7">
        <w:t>and received by the closing date and time indicated.</w:t>
      </w:r>
    </w:p>
    <w:p w14:paraId="5370DE80" w14:textId="0995F78C" w:rsidR="00FA0F33" w:rsidRPr="00926CE7" w:rsidRDefault="00FA0F33" w:rsidP="0042646F"/>
    <w:p w14:paraId="0B637E07" w14:textId="2E955FC0" w:rsidR="003B1429" w:rsidRDefault="00AF6FAB" w:rsidP="005C0532">
      <w:r w:rsidRPr="00926CE7">
        <w:t xml:space="preserve">Issuance of this </w:t>
      </w:r>
      <w:r w:rsidR="002F4D7B">
        <w:t xml:space="preserve">solicitation </w:t>
      </w:r>
      <w:r w:rsidR="005704E6">
        <w:t>does not constitute a</w:t>
      </w:r>
      <w:r w:rsidR="002F4D7B">
        <w:t>n</w:t>
      </w:r>
      <w:r w:rsidR="005704E6">
        <w:t xml:space="preserve"> </w:t>
      </w:r>
      <w:r w:rsidRPr="00926CE7">
        <w:t>award commitment on the part of CNFA, nor does it commit CNFA to pay for costs incurred in the preparation and submission of an application.</w:t>
      </w:r>
      <w:r w:rsidR="005704E6">
        <w:t xml:space="preserve"> </w:t>
      </w:r>
    </w:p>
    <w:p w14:paraId="23396718" w14:textId="77777777" w:rsidR="004A6E1A" w:rsidRDefault="004A6E1A" w:rsidP="0083508C">
      <w:pPr>
        <w:rPr>
          <w:b/>
        </w:rPr>
      </w:pPr>
    </w:p>
    <w:p w14:paraId="3F5B28A7" w14:textId="189D34D6" w:rsidR="004A6E1A" w:rsidRDefault="008B4277" w:rsidP="004A6E1A">
      <w:pPr>
        <w:rPr>
          <w:b/>
        </w:rPr>
      </w:pPr>
      <w:r>
        <w:rPr>
          <w:b/>
        </w:rPr>
        <w:t xml:space="preserve">4. </w:t>
      </w:r>
      <w:r w:rsidR="004A6E1A" w:rsidRPr="004A6E1A">
        <w:rPr>
          <w:b/>
        </w:rPr>
        <w:t>Tasks &amp; Deliverables</w:t>
      </w:r>
      <w:r w:rsidR="009B12E0">
        <w:rPr>
          <w:b/>
        </w:rPr>
        <w:t>:</w:t>
      </w:r>
    </w:p>
    <w:p w14:paraId="69DEBC35" w14:textId="77777777" w:rsidR="009B12E0" w:rsidRDefault="004A6E1A" w:rsidP="004A6E1A">
      <w:pPr>
        <w:rPr>
          <w:b/>
        </w:rPr>
      </w:pPr>
      <w:r>
        <w:rPr>
          <w:b/>
        </w:rPr>
        <w:tab/>
      </w:r>
    </w:p>
    <w:p w14:paraId="3F69D41D" w14:textId="680A4041" w:rsidR="004A6E1A" w:rsidRDefault="00B369DB" w:rsidP="00B369DB">
      <w:pPr>
        <w:rPr>
          <w:b/>
        </w:rPr>
      </w:pPr>
      <w:r>
        <w:rPr>
          <w:b/>
        </w:rPr>
        <w:t xml:space="preserve">      </w:t>
      </w:r>
      <w:r w:rsidR="004A6E1A">
        <w:rPr>
          <w:b/>
        </w:rPr>
        <w:t>For Lead Writer</w:t>
      </w:r>
    </w:p>
    <w:p w14:paraId="74AB7BBD" w14:textId="71D3ED61" w:rsidR="004A6E1A" w:rsidRDefault="004A6E1A" w:rsidP="004A6E1A">
      <w:pPr>
        <w:rPr>
          <w:b/>
        </w:rPr>
      </w:pPr>
    </w:p>
    <w:p w14:paraId="149D9B40" w14:textId="77777777" w:rsidR="009B12E0" w:rsidRDefault="009B12E0" w:rsidP="00C57453">
      <w:pPr>
        <w:pStyle w:val="bullets"/>
      </w:pPr>
      <w:r>
        <w:t xml:space="preserve">Conduct background review to learn the context and donor priorities in the target technical area. </w:t>
      </w:r>
    </w:p>
    <w:p w14:paraId="7D599D65" w14:textId="77777777" w:rsidR="009B12E0" w:rsidRDefault="009B12E0" w:rsidP="00C57453">
      <w:pPr>
        <w:pStyle w:val="bullets"/>
      </w:pPr>
      <w:r>
        <w:t>Support the proposal team with the development of the strategic approach, including results framework, preliminary objectives, guiding principles, and preliminary activities.</w:t>
      </w:r>
    </w:p>
    <w:p w14:paraId="71F81FE7" w14:textId="77777777" w:rsidR="009B12E0" w:rsidRDefault="009B12E0" w:rsidP="00C57453">
      <w:pPr>
        <w:pStyle w:val="bullets"/>
      </w:pPr>
      <w:r>
        <w:t>Responsible for writing the technical application including the introduction summary, and strategic analysis.</w:t>
      </w:r>
    </w:p>
    <w:p w14:paraId="56ECD6A1" w14:textId="77777777" w:rsidR="009B12E0" w:rsidRDefault="009B12E0" w:rsidP="00C57453">
      <w:pPr>
        <w:pStyle w:val="bullets"/>
      </w:pPr>
      <w:r>
        <w:t>Support the team in writing other sections of the proposal, as required.</w:t>
      </w:r>
    </w:p>
    <w:p w14:paraId="475B24FF" w14:textId="56F2C61D" w:rsidR="004A6E1A" w:rsidRPr="009B12E0" w:rsidRDefault="009B12E0" w:rsidP="00C57453">
      <w:pPr>
        <w:pStyle w:val="bullets"/>
      </w:pPr>
      <w:r>
        <w:t>Conduct the capture trip as agreed with the team.</w:t>
      </w:r>
    </w:p>
    <w:p w14:paraId="3F685463" w14:textId="207A2904" w:rsidR="004A6E1A" w:rsidRDefault="004A6E1A" w:rsidP="00C57453">
      <w:pPr>
        <w:rPr>
          <w:b/>
        </w:rPr>
      </w:pPr>
    </w:p>
    <w:p w14:paraId="09844A22" w14:textId="331CBF5D" w:rsidR="004A6E1A" w:rsidRDefault="004A6E1A" w:rsidP="00C57453">
      <w:pPr>
        <w:rPr>
          <w:b/>
        </w:rPr>
      </w:pPr>
    </w:p>
    <w:p w14:paraId="70E6116C" w14:textId="1DC7DD32" w:rsidR="004A6E1A" w:rsidRDefault="00B369DB" w:rsidP="00C57453">
      <w:pPr>
        <w:rPr>
          <w:b/>
        </w:rPr>
      </w:pPr>
      <w:r>
        <w:rPr>
          <w:b/>
        </w:rPr>
        <w:t xml:space="preserve">     </w:t>
      </w:r>
      <w:r w:rsidR="004A6E1A">
        <w:rPr>
          <w:b/>
        </w:rPr>
        <w:t>For Technical Lead</w:t>
      </w:r>
    </w:p>
    <w:p w14:paraId="3B2A10AE" w14:textId="77777777" w:rsidR="004A6E1A" w:rsidRPr="004A6E1A" w:rsidRDefault="004A6E1A" w:rsidP="00C57453">
      <w:pPr>
        <w:rPr>
          <w:b/>
        </w:rPr>
      </w:pPr>
    </w:p>
    <w:p w14:paraId="273355B4" w14:textId="77777777" w:rsidR="004A6E1A" w:rsidRDefault="004A6E1A" w:rsidP="00C57453">
      <w:pPr>
        <w:pStyle w:val="bullets"/>
      </w:pPr>
      <w:r>
        <w:t xml:space="preserve">Conduct background review to learn the context and donor priorities in the target technical area. </w:t>
      </w:r>
    </w:p>
    <w:p w14:paraId="776B955B" w14:textId="77777777" w:rsidR="004A6E1A" w:rsidRDefault="004A6E1A" w:rsidP="00C57453">
      <w:pPr>
        <w:pStyle w:val="bullets"/>
      </w:pPr>
      <w:r>
        <w:t>Lead the proposal team in the development of the strategic approach, including results framework, preliminary objectives, guiding principles, and preliminary activities.</w:t>
      </w:r>
    </w:p>
    <w:p w14:paraId="57FD0398" w14:textId="77777777" w:rsidR="009B12E0" w:rsidRDefault="004A6E1A" w:rsidP="00C57453">
      <w:pPr>
        <w:pStyle w:val="bullets"/>
      </w:pPr>
      <w:r>
        <w:t>Support the team in writing the technical application including the introduction summary, strategic analysis and other sections.</w:t>
      </w:r>
    </w:p>
    <w:p w14:paraId="0FF85FB7" w14:textId="1F674634" w:rsidR="004A6E1A" w:rsidRPr="009B12E0" w:rsidRDefault="004A6E1A" w:rsidP="00C57453">
      <w:pPr>
        <w:pStyle w:val="bullets"/>
      </w:pPr>
      <w:r>
        <w:t>Conduct the capture trip as agreed with the team.</w:t>
      </w:r>
    </w:p>
    <w:p w14:paraId="7398D336" w14:textId="77777777" w:rsidR="004A6E1A" w:rsidRDefault="004A6E1A" w:rsidP="00C57453">
      <w:pPr>
        <w:rPr>
          <w:b/>
        </w:rPr>
      </w:pPr>
    </w:p>
    <w:p w14:paraId="02950AE8" w14:textId="77777777" w:rsidR="004A6E1A" w:rsidRDefault="004A6E1A" w:rsidP="00C57453">
      <w:pPr>
        <w:rPr>
          <w:b/>
        </w:rPr>
      </w:pPr>
    </w:p>
    <w:p w14:paraId="6CBFC3C9" w14:textId="4D609BF3" w:rsidR="00111EAD" w:rsidRDefault="008B4277" w:rsidP="00C57453">
      <w:pPr>
        <w:rPr>
          <w:b/>
        </w:rPr>
      </w:pPr>
      <w:r>
        <w:rPr>
          <w:b/>
        </w:rPr>
        <w:t xml:space="preserve">5. </w:t>
      </w:r>
      <w:r w:rsidR="003C3DEE">
        <w:rPr>
          <w:b/>
        </w:rPr>
        <w:t>Required Qualifications</w:t>
      </w:r>
      <w:r w:rsidR="00111EAD">
        <w:rPr>
          <w:b/>
        </w:rPr>
        <w:t>:</w:t>
      </w:r>
    </w:p>
    <w:p w14:paraId="5236C625" w14:textId="77777777" w:rsidR="00111EAD" w:rsidRDefault="00111EAD" w:rsidP="00C57453">
      <w:pPr>
        <w:ind w:firstLine="360"/>
        <w:rPr>
          <w:b/>
        </w:rPr>
      </w:pPr>
    </w:p>
    <w:p w14:paraId="1072B758" w14:textId="3EDC83C5" w:rsidR="003C3DEE" w:rsidRDefault="00111EAD" w:rsidP="00C57453">
      <w:pPr>
        <w:ind w:firstLine="360"/>
        <w:rPr>
          <w:b/>
        </w:rPr>
      </w:pPr>
      <w:r>
        <w:rPr>
          <w:b/>
        </w:rPr>
        <w:t>F</w:t>
      </w:r>
      <w:r w:rsidR="006D2D26">
        <w:rPr>
          <w:b/>
        </w:rPr>
        <w:t>or Lead Writer</w:t>
      </w:r>
      <w:r w:rsidR="003C3DEE">
        <w:rPr>
          <w:b/>
        </w:rPr>
        <w:t>:</w:t>
      </w:r>
    </w:p>
    <w:p w14:paraId="1CD5FCBE" w14:textId="3E27E3E8" w:rsidR="003C3DEE" w:rsidRDefault="003C3DEE" w:rsidP="00C57453">
      <w:pPr>
        <w:rPr>
          <w:b/>
        </w:rPr>
      </w:pPr>
    </w:p>
    <w:p w14:paraId="4B88FA74" w14:textId="0A215274" w:rsidR="009B12E0" w:rsidRDefault="009B12E0" w:rsidP="00C57453">
      <w:pPr>
        <w:pStyle w:val="bullets"/>
      </w:pPr>
      <w:r>
        <w:t>Demonstrated expertise in agricultural value chains, market systems, trade, and exports required, some of which must include Easter</w:t>
      </w:r>
      <w:r w:rsidR="00AB3E21">
        <w:t>n</w:t>
      </w:r>
      <w:r>
        <w:t xml:space="preserve"> Europe.</w:t>
      </w:r>
    </w:p>
    <w:p w14:paraId="60FCFF84" w14:textId="77777777" w:rsidR="009B12E0" w:rsidRDefault="009B12E0" w:rsidP="00C57453">
      <w:pPr>
        <w:pStyle w:val="bullets"/>
      </w:pPr>
      <w:r>
        <w:t xml:space="preserve">8+ years of proposal writing and/or project management experience in the international development field required; USDA experience strongly preferred. </w:t>
      </w:r>
    </w:p>
    <w:p w14:paraId="64E360D0" w14:textId="77777777" w:rsidR="009B12E0" w:rsidRDefault="009B12E0" w:rsidP="00C57453">
      <w:pPr>
        <w:pStyle w:val="bullets"/>
      </w:pPr>
      <w:r>
        <w:t>A Master’s degree in agriculture, economics, management, international development, or a related field of study or equivalent work experience required.</w:t>
      </w:r>
      <w:r w:rsidRPr="00E059E6">
        <w:t xml:space="preserve"> </w:t>
      </w:r>
    </w:p>
    <w:p w14:paraId="0206010E" w14:textId="33870452" w:rsidR="009B12E0" w:rsidRDefault="009B12E0" w:rsidP="00C57453">
      <w:pPr>
        <w:pStyle w:val="bullets"/>
      </w:pPr>
      <w:r>
        <w:t xml:space="preserve">Knowledge of </w:t>
      </w:r>
      <w:r w:rsidR="00AB3E21">
        <w:t xml:space="preserve">USDA </w:t>
      </w:r>
      <w:r>
        <w:t>regulations, especially for compliance on the proposal writing required.</w:t>
      </w:r>
    </w:p>
    <w:p w14:paraId="3B63225F" w14:textId="77777777" w:rsidR="009B12E0" w:rsidRDefault="009B12E0" w:rsidP="00C57453">
      <w:pPr>
        <w:pStyle w:val="bullets"/>
      </w:pPr>
      <w:r>
        <w:t xml:space="preserve">Strong writing and editing skills required. </w:t>
      </w:r>
    </w:p>
    <w:p w14:paraId="652A5766" w14:textId="12BCFEBC" w:rsidR="009B12E0" w:rsidRDefault="009B12E0" w:rsidP="00C57453">
      <w:pPr>
        <w:pStyle w:val="bullets"/>
      </w:pPr>
      <w:r>
        <w:t>Strong organization</w:t>
      </w:r>
      <w:r w:rsidR="00AB3E21">
        <w:t>al</w:t>
      </w:r>
      <w:r>
        <w:t>, interpersonal, and communication skills required.</w:t>
      </w:r>
    </w:p>
    <w:p w14:paraId="2467E070" w14:textId="5DBD80C6" w:rsidR="009B12E0" w:rsidRPr="003C3DEE" w:rsidRDefault="009B12E0" w:rsidP="00C57453">
      <w:pPr>
        <w:pStyle w:val="bullets"/>
      </w:pPr>
      <w:r>
        <w:t xml:space="preserve">Knowledge of the </w:t>
      </w:r>
      <w:r w:rsidR="00AB3E21">
        <w:t xml:space="preserve">USDA </w:t>
      </w:r>
      <w:r>
        <w:t>M&amp;E structure and indicators required.</w:t>
      </w:r>
    </w:p>
    <w:p w14:paraId="4019F03F" w14:textId="77777777" w:rsidR="009B12E0" w:rsidRDefault="009B12E0" w:rsidP="00C57453">
      <w:pPr>
        <w:pStyle w:val="bullets"/>
      </w:pPr>
      <w:r>
        <w:t xml:space="preserve">Familiarity with CNFA’s technical and geographic program areas preferred. </w:t>
      </w:r>
    </w:p>
    <w:p w14:paraId="3E226645" w14:textId="4A02149B" w:rsidR="009B12E0" w:rsidRDefault="009B12E0" w:rsidP="00C57453">
      <w:pPr>
        <w:pStyle w:val="bullets"/>
      </w:pPr>
      <w:r>
        <w:t xml:space="preserve">Experience in devising </w:t>
      </w:r>
      <w:r w:rsidR="00AB3E21">
        <w:t xml:space="preserve">an </w:t>
      </w:r>
      <w:r>
        <w:t>approach for graphic designs strongly preferred.</w:t>
      </w:r>
    </w:p>
    <w:p w14:paraId="007F1A42" w14:textId="77777777" w:rsidR="006D2D26" w:rsidRDefault="006D2D26" w:rsidP="00C57453">
      <w:pPr>
        <w:rPr>
          <w:b/>
        </w:rPr>
      </w:pPr>
    </w:p>
    <w:p w14:paraId="497CE107" w14:textId="28419C7B" w:rsidR="006D2D26" w:rsidRDefault="00111EAD" w:rsidP="00C57453">
      <w:pPr>
        <w:ind w:firstLine="360"/>
        <w:rPr>
          <w:b/>
        </w:rPr>
      </w:pPr>
      <w:r>
        <w:rPr>
          <w:b/>
        </w:rPr>
        <w:t>F</w:t>
      </w:r>
      <w:r w:rsidR="006D2D26">
        <w:rPr>
          <w:b/>
        </w:rPr>
        <w:t>or Technical Lead:</w:t>
      </w:r>
    </w:p>
    <w:p w14:paraId="45E55AFE" w14:textId="77777777" w:rsidR="006D2D26" w:rsidRDefault="006D2D26" w:rsidP="00C57453">
      <w:pPr>
        <w:rPr>
          <w:b/>
        </w:rPr>
      </w:pPr>
    </w:p>
    <w:p w14:paraId="7117EB6F" w14:textId="3B64F1AD" w:rsidR="004A6E1A" w:rsidRDefault="004A6E1A" w:rsidP="00C57453">
      <w:pPr>
        <w:pStyle w:val="bullets"/>
      </w:pPr>
      <w:r>
        <w:lastRenderedPageBreak/>
        <w:t>Demonstrated expertise in agricultural value chains, market systems, trade, and exports required, some of which must include Easter</w:t>
      </w:r>
      <w:r w:rsidR="00AB3E21">
        <w:t>n</w:t>
      </w:r>
      <w:r>
        <w:t xml:space="preserve"> Europe.</w:t>
      </w:r>
    </w:p>
    <w:p w14:paraId="3DAFEA86" w14:textId="77777777" w:rsidR="004A6E1A" w:rsidRDefault="004A6E1A" w:rsidP="00C57453">
      <w:pPr>
        <w:pStyle w:val="bullets"/>
      </w:pPr>
      <w:r>
        <w:t xml:space="preserve">8+ years of </w:t>
      </w:r>
      <w:r w:rsidRPr="003C3DEE">
        <w:t xml:space="preserve">providing technical oversight and leadership </w:t>
      </w:r>
      <w:r>
        <w:t xml:space="preserve">on development projects and/or proposal writing experience in the international development field required; USDA experience preferred. </w:t>
      </w:r>
    </w:p>
    <w:p w14:paraId="20C4F16C" w14:textId="77777777" w:rsidR="004A6E1A" w:rsidRDefault="004A6E1A" w:rsidP="00C57453">
      <w:pPr>
        <w:pStyle w:val="bullets"/>
      </w:pPr>
      <w:r>
        <w:t>A Master’s degree in agriculture, economics, management, international development, or a related field of study or equivalent work experience required.</w:t>
      </w:r>
      <w:r w:rsidRPr="00E059E6">
        <w:t xml:space="preserve"> </w:t>
      </w:r>
    </w:p>
    <w:p w14:paraId="3E6E6E70" w14:textId="381B4711" w:rsidR="004A6E1A" w:rsidRDefault="004A6E1A" w:rsidP="00C57453">
      <w:pPr>
        <w:pStyle w:val="bullets"/>
      </w:pPr>
      <w:r>
        <w:t xml:space="preserve">Knowledge of </w:t>
      </w:r>
      <w:r w:rsidR="00AB3E21">
        <w:t xml:space="preserve">USDA </w:t>
      </w:r>
      <w:r>
        <w:t>regulations, especially for compliance and M&amp;E required.</w:t>
      </w:r>
    </w:p>
    <w:p w14:paraId="2D8F8CFD" w14:textId="77777777" w:rsidR="004A6E1A" w:rsidRDefault="004A6E1A" w:rsidP="00C57453">
      <w:pPr>
        <w:pStyle w:val="bullets"/>
      </w:pPr>
      <w:r>
        <w:t xml:space="preserve">Strong writing and editing skills required. </w:t>
      </w:r>
    </w:p>
    <w:p w14:paraId="772098A1" w14:textId="08412515" w:rsidR="004A6E1A" w:rsidRDefault="004A6E1A" w:rsidP="00C57453">
      <w:pPr>
        <w:pStyle w:val="bullets"/>
      </w:pPr>
      <w:r>
        <w:t>Strong organization</w:t>
      </w:r>
      <w:r w:rsidR="00AB3E21">
        <w:t>al</w:t>
      </w:r>
      <w:r>
        <w:t>, interpersonal, and communication skills required.</w:t>
      </w:r>
    </w:p>
    <w:p w14:paraId="388C46B5" w14:textId="09823058" w:rsidR="004A6E1A" w:rsidRPr="00CB238B" w:rsidRDefault="004A6E1A" w:rsidP="00C57453">
      <w:pPr>
        <w:pStyle w:val="bullets"/>
      </w:pPr>
      <w:r>
        <w:t>Experience working with different partners, staff, and experience in developing organizational charts and staffing approaches strongly preferred.</w:t>
      </w:r>
    </w:p>
    <w:p w14:paraId="78816F15" w14:textId="77777777" w:rsidR="004A6E1A" w:rsidRDefault="004A6E1A" w:rsidP="00C57453">
      <w:pPr>
        <w:pStyle w:val="bullets"/>
      </w:pPr>
      <w:r>
        <w:t xml:space="preserve">Familiarity with CNFA’s technical and geographic program areas preferred. </w:t>
      </w:r>
    </w:p>
    <w:p w14:paraId="188F76F6" w14:textId="6285594A" w:rsidR="004A6E1A" w:rsidRDefault="004A6E1A" w:rsidP="00C57453">
      <w:pPr>
        <w:pStyle w:val="bullets"/>
      </w:pPr>
      <w:r>
        <w:t xml:space="preserve">Experience in devising </w:t>
      </w:r>
      <w:r w:rsidR="00AB3E21">
        <w:t xml:space="preserve">an </w:t>
      </w:r>
      <w:r>
        <w:t>approach for graphic designs strongly preferred.</w:t>
      </w:r>
    </w:p>
    <w:p w14:paraId="0331E657" w14:textId="00CF32BA" w:rsidR="003C3DEE" w:rsidRDefault="003C3DEE" w:rsidP="00C57453">
      <w:pPr>
        <w:rPr>
          <w:b/>
        </w:rPr>
      </w:pPr>
    </w:p>
    <w:p w14:paraId="24AE7BD0" w14:textId="77777777" w:rsidR="006D2D26" w:rsidRDefault="006D2D26" w:rsidP="00C57453">
      <w:pPr>
        <w:rPr>
          <w:b/>
        </w:rPr>
      </w:pPr>
    </w:p>
    <w:p w14:paraId="5B4337B4" w14:textId="51315A6D" w:rsidR="00111EAD" w:rsidRDefault="008B4277" w:rsidP="00C57453">
      <w:r>
        <w:rPr>
          <w:b/>
        </w:rPr>
        <w:t xml:space="preserve">6. </w:t>
      </w:r>
      <w:r w:rsidR="003C3DEE">
        <w:rPr>
          <w:b/>
        </w:rPr>
        <w:t>Selection</w:t>
      </w:r>
      <w:r w:rsidR="0083508C">
        <w:rPr>
          <w:b/>
        </w:rPr>
        <w:t xml:space="preserve"> Criteria</w:t>
      </w:r>
      <w:r w:rsidR="00111EAD">
        <w:rPr>
          <w:b/>
        </w:rPr>
        <w:t>:</w:t>
      </w:r>
    </w:p>
    <w:p w14:paraId="1AD107F2" w14:textId="399EF37D" w:rsidR="00111EAD" w:rsidRDefault="00111EAD" w:rsidP="00C57453">
      <w:r>
        <w:t xml:space="preserve">Award will be made to a responsible Offeror whose offer follows the </w:t>
      </w:r>
      <w:r w:rsidR="007C7380">
        <w:t>NOFO</w:t>
      </w:r>
      <w:r>
        <w:t xml:space="preserve"> instructions, meets the eligibility requirements, and is determined via a trade-off analysis to be the best value based on application of the below evaluation criteria. Best-value determination considers both technical and financial </w:t>
      </w:r>
      <w:r w:rsidR="00D642C8">
        <w:t>applications</w:t>
      </w:r>
      <w:r>
        <w:t>, i.e. the best approach and anticipated results in combination with a reasonable cost. The relative importance of each individual criterion is indicated by the number of points below:</w:t>
      </w:r>
    </w:p>
    <w:p w14:paraId="022824F1" w14:textId="77777777" w:rsidR="00111EAD" w:rsidRDefault="00111EAD" w:rsidP="00C57453">
      <w:pPr>
        <w:rPr>
          <w:b/>
        </w:rPr>
      </w:pPr>
    </w:p>
    <w:p w14:paraId="6EC618FF" w14:textId="77777777" w:rsidR="00111EAD" w:rsidRDefault="00111EAD" w:rsidP="00C57453">
      <w:pPr>
        <w:rPr>
          <w:b/>
        </w:rPr>
      </w:pPr>
    </w:p>
    <w:tbl>
      <w:tblPr>
        <w:tblStyle w:val="CNFAProposal"/>
        <w:tblW w:w="0" w:type="auto"/>
        <w:tblLook w:val="04A0" w:firstRow="1" w:lastRow="0" w:firstColumn="1" w:lastColumn="0" w:noHBand="0" w:noVBand="1"/>
      </w:tblPr>
      <w:tblGrid>
        <w:gridCol w:w="7743"/>
        <w:gridCol w:w="1517"/>
      </w:tblGrid>
      <w:tr w:rsidR="00111EAD" w:rsidRPr="00E772C7" w14:paraId="7DBC7339" w14:textId="77777777" w:rsidTr="002F4D7B">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743" w:type="dxa"/>
          </w:tcPr>
          <w:p w14:paraId="1928D0CD" w14:textId="77777777" w:rsidR="00111EAD" w:rsidRPr="00E772C7" w:rsidRDefault="00111EAD" w:rsidP="00C57453">
            <w:r>
              <w:rPr>
                <w:color w:val="auto"/>
              </w:rPr>
              <w:t>Criteria</w:t>
            </w:r>
          </w:p>
        </w:tc>
        <w:tc>
          <w:tcPr>
            <w:tcW w:w="1517" w:type="dxa"/>
          </w:tcPr>
          <w:p w14:paraId="4DDEF727" w14:textId="77777777" w:rsidR="00111EAD" w:rsidRPr="00E772C7" w:rsidRDefault="00111EAD" w:rsidP="00611508">
            <w:pPr>
              <w:jc w:val="center"/>
              <w:cnfStyle w:val="100000000000" w:firstRow="1" w:lastRow="0" w:firstColumn="0" w:lastColumn="0" w:oddVBand="0" w:evenVBand="0" w:oddHBand="0" w:evenHBand="0" w:firstRowFirstColumn="0" w:firstRowLastColumn="0" w:lastRowFirstColumn="0" w:lastRowLastColumn="0"/>
            </w:pPr>
            <w:r w:rsidRPr="00E772C7">
              <w:rPr>
                <w:color w:val="auto"/>
              </w:rPr>
              <w:t>Scoring</w:t>
            </w:r>
          </w:p>
        </w:tc>
      </w:tr>
      <w:tr w:rsidR="00111EAD" w:rsidRPr="00E772C7" w14:paraId="3BD16F30" w14:textId="77777777" w:rsidTr="002F4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3" w:type="dxa"/>
          </w:tcPr>
          <w:p w14:paraId="45AE7C7C" w14:textId="77777777" w:rsidR="00111EAD" w:rsidRDefault="00111EAD" w:rsidP="00C57453">
            <w:pPr>
              <w:pStyle w:val="ListParagraph"/>
              <w:numPr>
                <w:ilvl w:val="0"/>
                <w:numId w:val="23"/>
              </w:numPr>
              <w:rPr>
                <w:b/>
              </w:rPr>
            </w:pPr>
            <w:r w:rsidRPr="006163B7">
              <w:rPr>
                <w:b/>
              </w:rPr>
              <w:t>Demonstrated</w:t>
            </w:r>
            <w:r w:rsidRPr="00EC55CD">
              <w:rPr>
                <w:b/>
              </w:rPr>
              <w:t xml:space="preserve"> institutional capacity and successful past performance </w:t>
            </w:r>
            <w:r>
              <w:rPr>
                <w:b/>
              </w:rPr>
              <w:t>supporting</w:t>
            </w:r>
            <w:r w:rsidRPr="00EC55CD">
              <w:rPr>
                <w:b/>
              </w:rPr>
              <w:t xml:space="preserve"> USDA </w:t>
            </w:r>
            <w:proofErr w:type="spellStart"/>
            <w:r w:rsidRPr="00EC55CD">
              <w:rPr>
                <w:b/>
              </w:rPr>
              <w:t>FFPr</w:t>
            </w:r>
            <w:proofErr w:type="spellEnd"/>
            <w:r w:rsidRPr="00EC55CD">
              <w:rPr>
                <w:b/>
              </w:rPr>
              <w:t xml:space="preserve"> </w:t>
            </w:r>
            <w:r>
              <w:rPr>
                <w:b/>
              </w:rPr>
              <w:t>proposals</w:t>
            </w:r>
          </w:p>
          <w:p w14:paraId="337A0B38" w14:textId="77777777" w:rsidR="00111EAD" w:rsidRDefault="00111EAD" w:rsidP="00C57453"/>
          <w:p w14:paraId="70B72DD8" w14:textId="6D66E3C2" w:rsidR="00111EAD" w:rsidRDefault="00111EAD" w:rsidP="00C57453">
            <w:r>
              <w:t>Offerors</w:t>
            </w:r>
            <w:r w:rsidRPr="00E772C7">
              <w:t xml:space="preserve"> will be evaluated based on a demonstrated ability to provide </w:t>
            </w:r>
            <w:r>
              <w:t xml:space="preserve">proposal development </w:t>
            </w:r>
            <w:r w:rsidRPr="00E772C7">
              <w:t xml:space="preserve">services </w:t>
            </w:r>
            <w:r>
              <w:t>during</w:t>
            </w:r>
            <w:r w:rsidRPr="00E772C7">
              <w:t xml:space="preserve"> the past 7 years</w:t>
            </w:r>
            <w:r>
              <w:t>, including working on USDA proposals</w:t>
            </w:r>
            <w:r w:rsidRPr="00E772C7">
              <w:t xml:space="preserve">. </w:t>
            </w:r>
          </w:p>
          <w:p w14:paraId="5DF2EBDC" w14:textId="0C162937" w:rsidR="00111EAD" w:rsidRPr="00111EAD" w:rsidRDefault="00111EAD" w:rsidP="00C57453">
            <w:pPr>
              <w:pStyle w:val="bullets"/>
              <w:numPr>
                <w:ilvl w:val="0"/>
                <w:numId w:val="0"/>
              </w:numPr>
              <w:spacing w:line="240" w:lineRule="auto"/>
              <w:rPr>
                <w:b/>
                <w:spacing w:val="-2"/>
              </w:rPr>
            </w:pPr>
          </w:p>
        </w:tc>
        <w:tc>
          <w:tcPr>
            <w:tcW w:w="1517" w:type="dxa"/>
          </w:tcPr>
          <w:p w14:paraId="4B4F49DD" w14:textId="6D22107F" w:rsidR="00111EAD" w:rsidRDefault="00E32642" w:rsidP="00AB13D5">
            <w:pPr>
              <w:jc w:val="center"/>
              <w:cnfStyle w:val="000000100000" w:firstRow="0" w:lastRow="0" w:firstColumn="0" w:lastColumn="0" w:oddVBand="0" w:evenVBand="0" w:oddHBand="1" w:evenHBand="0" w:firstRowFirstColumn="0" w:firstRowLastColumn="0" w:lastRowFirstColumn="0" w:lastRowLastColumn="0"/>
            </w:pPr>
            <w:r>
              <w:t>20</w:t>
            </w:r>
          </w:p>
        </w:tc>
      </w:tr>
      <w:tr w:rsidR="00111EAD" w:rsidRPr="00E772C7" w14:paraId="343088B5" w14:textId="77777777" w:rsidTr="002F4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3" w:type="dxa"/>
          </w:tcPr>
          <w:p w14:paraId="419D4CAA" w14:textId="25A3EA4C" w:rsidR="00111EAD" w:rsidRPr="00111EAD" w:rsidRDefault="00111EAD" w:rsidP="00C57453">
            <w:pPr>
              <w:pStyle w:val="ListParagraph"/>
              <w:numPr>
                <w:ilvl w:val="0"/>
                <w:numId w:val="22"/>
              </w:numPr>
            </w:pPr>
            <w:r w:rsidRPr="00111EAD">
              <w:rPr>
                <w:b/>
              </w:rPr>
              <w:t xml:space="preserve">Education background </w:t>
            </w:r>
          </w:p>
          <w:p w14:paraId="4A92F272" w14:textId="77777777" w:rsidR="00111EAD" w:rsidRDefault="00111EAD" w:rsidP="00C57453"/>
          <w:p w14:paraId="026BCD58" w14:textId="1A6B9E0C" w:rsidR="00111EAD" w:rsidRDefault="00111EAD" w:rsidP="00C57453">
            <w:r>
              <w:t>Offerors</w:t>
            </w:r>
            <w:r w:rsidRPr="00E772C7">
              <w:t xml:space="preserve"> will be evaluated based on </w:t>
            </w:r>
            <w:r>
              <w:t xml:space="preserve">the </w:t>
            </w:r>
            <w:r w:rsidR="00303802">
              <w:t xml:space="preserve">proposed </w:t>
            </w:r>
            <w:r w:rsidR="003E7E59">
              <w:t>candidates’</w:t>
            </w:r>
            <w:r w:rsidR="00303802">
              <w:t xml:space="preserve"> </w:t>
            </w:r>
            <w:r>
              <w:t>education level as per the requir</w:t>
            </w:r>
            <w:r w:rsidR="00303802">
              <w:t>ed qualifications section above.</w:t>
            </w:r>
            <w:r w:rsidR="004C5D38">
              <w:t xml:space="preserve"> Maximum score for one candidate is 5 points. </w:t>
            </w:r>
          </w:p>
          <w:p w14:paraId="7CB158D8" w14:textId="77777777" w:rsidR="00111EAD" w:rsidRPr="00274557" w:rsidRDefault="00111EAD" w:rsidP="00C57453">
            <w:pPr>
              <w:pStyle w:val="bullets"/>
              <w:numPr>
                <w:ilvl w:val="0"/>
                <w:numId w:val="0"/>
              </w:numPr>
              <w:spacing w:line="240" w:lineRule="auto"/>
            </w:pPr>
          </w:p>
        </w:tc>
        <w:tc>
          <w:tcPr>
            <w:tcW w:w="1517" w:type="dxa"/>
          </w:tcPr>
          <w:p w14:paraId="3AAA594C" w14:textId="1E577A57" w:rsidR="00111EAD" w:rsidRPr="00E772C7" w:rsidRDefault="00111EAD" w:rsidP="00AB13D5">
            <w:pPr>
              <w:jc w:val="center"/>
              <w:cnfStyle w:val="000000010000" w:firstRow="0" w:lastRow="0" w:firstColumn="0" w:lastColumn="0" w:oddVBand="0" w:evenVBand="0" w:oddHBand="0" w:evenHBand="1" w:firstRowFirstColumn="0" w:firstRowLastColumn="0" w:lastRowFirstColumn="0" w:lastRowLastColumn="0"/>
            </w:pPr>
            <w:r>
              <w:t>5</w:t>
            </w:r>
            <w:r w:rsidR="004C5D38">
              <w:t xml:space="preserve"> for each</w:t>
            </w:r>
          </w:p>
        </w:tc>
      </w:tr>
      <w:tr w:rsidR="00111EAD" w:rsidRPr="00E772C7" w14:paraId="531C03A2" w14:textId="77777777" w:rsidTr="002F4D7B">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7743" w:type="dxa"/>
          </w:tcPr>
          <w:p w14:paraId="44F96843" w14:textId="77777777" w:rsidR="00111EAD" w:rsidRPr="00EC55CD" w:rsidRDefault="00111EAD" w:rsidP="00C57453">
            <w:pPr>
              <w:numPr>
                <w:ilvl w:val="0"/>
                <w:numId w:val="22"/>
              </w:numPr>
            </w:pPr>
            <w:r w:rsidRPr="006163B7">
              <w:rPr>
                <w:b/>
              </w:rPr>
              <w:t>Demonstrated</w:t>
            </w:r>
            <w:r w:rsidRPr="00EC55CD">
              <w:rPr>
                <w:b/>
              </w:rPr>
              <w:t xml:space="preserve"> capacity and successful past performance </w:t>
            </w:r>
            <w:r>
              <w:rPr>
                <w:b/>
              </w:rPr>
              <w:t>according to the Qualifications above</w:t>
            </w:r>
          </w:p>
          <w:p w14:paraId="2F21AA62" w14:textId="77777777" w:rsidR="00111EAD" w:rsidRDefault="00111EAD" w:rsidP="00C57453">
            <w:pPr>
              <w:ind w:left="-23"/>
            </w:pPr>
            <w:r>
              <w:t xml:space="preserve"> </w:t>
            </w:r>
          </w:p>
          <w:p w14:paraId="3992357D" w14:textId="1A466A60" w:rsidR="00111EAD" w:rsidRPr="00E772C7" w:rsidRDefault="00111EAD" w:rsidP="004C5D38">
            <w:r>
              <w:t xml:space="preserve">Offerors will be evaluated based on </w:t>
            </w:r>
            <w:r w:rsidR="00303802">
              <w:t>the proposed candidates’</w:t>
            </w:r>
            <w:r w:rsidR="003E7E59">
              <w:t xml:space="preserve"> </w:t>
            </w:r>
            <w:r>
              <w:t>demonstrated ability to support the development of a proposal(s) in the Lead Writer or Technical Lead capacity as per the Qualifications section above.</w:t>
            </w:r>
            <w:r w:rsidR="004C5D38">
              <w:t xml:space="preserve"> Maximum score for one candidate is 15 points. </w:t>
            </w:r>
          </w:p>
        </w:tc>
        <w:tc>
          <w:tcPr>
            <w:tcW w:w="1517" w:type="dxa"/>
          </w:tcPr>
          <w:p w14:paraId="391AC59E" w14:textId="4EDFB8F2" w:rsidR="00111EAD" w:rsidRPr="00E772C7" w:rsidRDefault="00E32642" w:rsidP="00AB13D5">
            <w:pPr>
              <w:jc w:val="center"/>
              <w:cnfStyle w:val="000000100000" w:firstRow="0" w:lastRow="0" w:firstColumn="0" w:lastColumn="0" w:oddVBand="0" w:evenVBand="0" w:oddHBand="1" w:evenHBand="0" w:firstRowFirstColumn="0" w:firstRowLastColumn="0" w:lastRowFirstColumn="0" w:lastRowLastColumn="0"/>
            </w:pPr>
            <w:r>
              <w:t>35</w:t>
            </w:r>
            <w:r w:rsidR="004C5D38">
              <w:t xml:space="preserve"> for each</w:t>
            </w:r>
          </w:p>
        </w:tc>
      </w:tr>
      <w:tr w:rsidR="00111EAD" w:rsidRPr="00E772C7" w14:paraId="33F6352F" w14:textId="77777777" w:rsidTr="002F4D7B">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743" w:type="dxa"/>
          </w:tcPr>
          <w:p w14:paraId="74C43165" w14:textId="77777777" w:rsidR="00111EAD" w:rsidRDefault="00111EAD" w:rsidP="00C57453">
            <w:pPr>
              <w:rPr>
                <w:b/>
              </w:rPr>
            </w:pPr>
            <w:r>
              <w:rPr>
                <w:b/>
              </w:rPr>
              <w:t>Total Points Possible</w:t>
            </w:r>
          </w:p>
        </w:tc>
        <w:tc>
          <w:tcPr>
            <w:tcW w:w="1517" w:type="dxa"/>
          </w:tcPr>
          <w:p w14:paraId="25A7DDD7" w14:textId="77C6E976" w:rsidR="00111EAD" w:rsidRDefault="00E32642" w:rsidP="00AB13D5">
            <w:pPr>
              <w:jc w:val="center"/>
              <w:cnfStyle w:val="000000010000" w:firstRow="0" w:lastRow="0" w:firstColumn="0" w:lastColumn="0" w:oddVBand="0" w:evenVBand="0" w:oddHBand="0" w:evenHBand="1" w:firstRowFirstColumn="0" w:firstRowLastColumn="0" w:lastRowFirstColumn="0" w:lastRowLastColumn="0"/>
            </w:pPr>
            <w:r>
              <w:t>10</w:t>
            </w:r>
            <w:r w:rsidR="00111EAD">
              <w:t>0</w:t>
            </w:r>
          </w:p>
        </w:tc>
      </w:tr>
    </w:tbl>
    <w:p w14:paraId="537F2E64" w14:textId="77777777" w:rsidR="00111EAD" w:rsidRDefault="00111EAD" w:rsidP="00C57453">
      <w:pPr>
        <w:autoSpaceDE w:val="0"/>
        <w:autoSpaceDN w:val="0"/>
        <w:adjustRightInd w:val="0"/>
        <w:contextualSpacing/>
      </w:pPr>
    </w:p>
    <w:p w14:paraId="770D14EB" w14:textId="3F5E287E" w:rsidR="00DD504B" w:rsidRDefault="00111EAD" w:rsidP="00C57453">
      <w:pPr>
        <w:autoSpaceDE w:val="0"/>
        <w:autoSpaceDN w:val="0"/>
        <w:adjustRightInd w:val="0"/>
        <w:contextualSpacing/>
      </w:pPr>
      <w:r w:rsidRPr="004F2B9B">
        <w:t xml:space="preserve">Best offer </w:t>
      </w:r>
      <w:r w:rsidR="00D642C8">
        <w:t>applications</w:t>
      </w:r>
      <w:r w:rsidRPr="004F2B9B">
        <w:t xml:space="preserve"> are requested. It is anticipated that award will be made solely on the basis of these original </w:t>
      </w:r>
      <w:r w:rsidR="00D642C8">
        <w:t>applications</w:t>
      </w:r>
      <w:r w:rsidRPr="004F2B9B">
        <w:t>. However, CNFA reserves the right to conduct negotiations with and/or r</w:t>
      </w:r>
      <w:r>
        <w:t>equest clarifications from any O</w:t>
      </w:r>
      <w:r w:rsidRPr="004F2B9B">
        <w:t xml:space="preserve">fferor prior to award, or cancel this </w:t>
      </w:r>
      <w:r w:rsidR="00AB3E21">
        <w:t>solicitation</w:t>
      </w:r>
      <w:r w:rsidR="00AB3E21" w:rsidRPr="004F2B9B">
        <w:t xml:space="preserve"> </w:t>
      </w:r>
      <w:r w:rsidRPr="004F2B9B">
        <w:t>at any time.</w:t>
      </w:r>
      <w:r w:rsidR="00DD504B">
        <w:t xml:space="preserve"> CNFA anticipates awarding a service agreement to the successful offeror. </w:t>
      </w:r>
    </w:p>
    <w:p w14:paraId="27C4D784" w14:textId="458CA424" w:rsidR="00AB3E21" w:rsidRDefault="00AB3E21" w:rsidP="00C57453">
      <w:pPr>
        <w:autoSpaceDE w:val="0"/>
        <w:autoSpaceDN w:val="0"/>
        <w:adjustRightInd w:val="0"/>
        <w:contextualSpacing/>
      </w:pPr>
    </w:p>
    <w:p w14:paraId="3F81D3F7" w14:textId="61CD6C47" w:rsidR="00AB3E21" w:rsidRPr="002B523D" w:rsidRDefault="008B4277" w:rsidP="00C57453">
      <w:pPr>
        <w:autoSpaceDE w:val="0"/>
        <w:autoSpaceDN w:val="0"/>
        <w:adjustRightInd w:val="0"/>
        <w:contextualSpacing/>
        <w:rPr>
          <w:b/>
        </w:rPr>
      </w:pPr>
      <w:bookmarkStart w:id="0" w:name="_GoBack"/>
      <w:r w:rsidRPr="00A50B9F">
        <w:rPr>
          <w:b/>
        </w:rPr>
        <w:t xml:space="preserve">7. </w:t>
      </w:r>
      <w:r w:rsidR="00DD504B" w:rsidRPr="002B523D">
        <w:rPr>
          <w:b/>
        </w:rPr>
        <w:t>CNFA Terms and Conditions</w:t>
      </w:r>
    </w:p>
    <w:p w14:paraId="781797B1" w14:textId="23773099" w:rsidR="00DD504B" w:rsidRPr="004344C5" w:rsidRDefault="00DD504B" w:rsidP="004344C5">
      <w:pPr>
        <w:spacing w:line="240" w:lineRule="auto"/>
      </w:pPr>
      <w:r w:rsidRPr="004344C5">
        <w:rPr>
          <w:b/>
          <w:u w:val="single"/>
        </w:rPr>
        <w:t xml:space="preserve">7.1 Ethical and Business Conduct Requirements: </w:t>
      </w:r>
      <w:r w:rsidRPr="004344C5">
        <w:t xml:space="preserve">CNFA is committed to integrity in procurement, and only selects suppliers based on objective business criteria such as price and technical merit. </w:t>
      </w:r>
    </w:p>
    <w:p w14:paraId="3C234A6D" w14:textId="77777777" w:rsidR="00DD504B" w:rsidRPr="004344C5" w:rsidRDefault="00DD504B" w:rsidP="005E5AAD">
      <w:pPr>
        <w:spacing w:line="240" w:lineRule="auto"/>
        <w:ind w:left="360"/>
      </w:pPr>
    </w:p>
    <w:p w14:paraId="30EB0B72" w14:textId="48CB2047" w:rsidR="00DD504B" w:rsidRPr="004344C5" w:rsidRDefault="00DD504B" w:rsidP="004344C5">
      <w:pPr>
        <w:spacing w:line="240" w:lineRule="auto"/>
      </w:pPr>
      <w:r w:rsidRPr="004344C5">
        <w:t>CNFA does not tolerate fraud, collusion among offerors, falsified proposals/bids, bribery, or kickbacks. Any firm or individual violating these standards will be disqualified from this procurement, barred from future procurement opportunities, and may be reported.</w:t>
      </w:r>
    </w:p>
    <w:p w14:paraId="4422D1B5" w14:textId="77777777" w:rsidR="00DD504B" w:rsidRPr="004344C5" w:rsidRDefault="00DD504B" w:rsidP="005E5AAD">
      <w:pPr>
        <w:spacing w:line="240" w:lineRule="auto"/>
        <w:ind w:left="360"/>
      </w:pPr>
    </w:p>
    <w:p w14:paraId="06D3D690" w14:textId="0567B8FE" w:rsidR="00DD504B" w:rsidRPr="004344C5" w:rsidRDefault="00DD504B" w:rsidP="004344C5">
      <w:pPr>
        <w:spacing w:line="240" w:lineRule="auto"/>
      </w:pPr>
      <w:r w:rsidRPr="004344C5">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In addition, CNFA will report any offeror who offers of money, fee, commission, credit, gift, gratuity, object of value or compensation to obtain business.</w:t>
      </w:r>
    </w:p>
    <w:p w14:paraId="07DB0292" w14:textId="77777777" w:rsidR="00DD504B" w:rsidRPr="004344C5" w:rsidRDefault="00DD504B" w:rsidP="005E5AAD">
      <w:pPr>
        <w:spacing w:line="240" w:lineRule="auto"/>
        <w:ind w:left="360"/>
      </w:pPr>
    </w:p>
    <w:p w14:paraId="77FE4D9D" w14:textId="0DDBBED6" w:rsidR="00DD504B" w:rsidRPr="004344C5" w:rsidRDefault="00DD504B" w:rsidP="004344C5">
      <w:pPr>
        <w:spacing w:line="240" w:lineRule="auto"/>
      </w:pPr>
      <w:r w:rsidRPr="004344C5">
        <w:t>Offerors responding to this solicitation must include the following as part of the proposal submission:</w:t>
      </w:r>
    </w:p>
    <w:p w14:paraId="71F4712D" w14:textId="77777777" w:rsidR="00DD504B" w:rsidRPr="004344C5" w:rsidRDefault="00DD504B" w:rsidP="004344C5">
      <w:pPr>
        <w:numPr>
          <w:ilvl w:val="0"/>
          <w:numId w:val="32"/>
        </w:numPr>
        <w:spacing w:line="240" w:lineRule="auto"/>
        <w:ind w:left="1080"/>
      </w:pPr>
      <w:r w:rsidRPr="004344C5">
        <w:t>Disclose any close, familial, or financial relationships with CNFA or project staff. For example, if an offeror’s cousin is employed by the project, the offeror must state this.</w:t>
      </w:r>
    </w:p>
    <w:p w14:paraId="49A6AFFA" w14:textId="77777777" w:rsidR="00DD504B" w:rsidRPr="004344C5" w:rsidRDefault="00DD504B" w:rsidP="004344C5">
      <w:pPr>
        <w:numPr>
          <w:ilvl w:val="0"/>
          <w:numId w:val="32"/>
        </w:numPr>
        <w:spacing w:line="240" w:lineRule="auto"/>
        <w:ind w:left="1080"/>
      </w:pPr>
      <w:r w:rsidRPr="004344C5">
        <w:t xml:space="preserve">Disclose any family or financial relationship with other offerors submitting proposals. For example, if the offeror’s father owns a company that is submitting another proposal, the offeror must state this. </w:t>
      </w:r>
    </w:p>
    <w:p w14:paraId="1AB9E190" w14:textId="77777777" w:rsidR="00DD504B" w:rsidRPr="004344C5" w:rsidRDefault="00DD504B" w:rsidP="004344C5">
      <w:pPr>
        <w:numPr>
          <w:ilvl w:val="0"/>
          <w:numId w:val="32"/>
        </w:numPr>
        <w:spacing w:line="240" w:lineRule="auto"/>
        <w:ind w:left="1080"/>
      </w:pPr>
      <w:r w:rsidRPr="004344C5">
        <w:t>Certify that the prices in the offer have been arrived at independently, without any consultation, communication, or agreement with any other offeror or competitor for the purpose of restricting competition.</w:t>
      </w:r>
    </w:p>
    <w:p w14:paraId="680F1FAF" w14:textId="77777777" w:rsidR="00DD504B" w:rsidRPr="004344C5" w:rsidRDefault="00DD504B" w:rsidP="004344C5">
      <w:pPr>
        <w:numPr>
          <w:ilvl w:val="0"/>
          <w:numId w:val="32"/>
        </w:numPr>
        <w:spacing w:line="240" w:lineRule="auto"/>
        <w:ind w:left="1080"/>
      </w:pPr>
      <w:r w:rsidRPr="004344C5">
        <w:t>Certify that all information in the proposal and all supporting documentation are authentic and accurate.</w:t>
      </w:r>
    </w:p>
    <w:p w14:paraId="273F7CA1" w14:textId="77777777" w:rsidR="00DD504B" w:rsidRPr="004344C5" w:rsidRDefault="00DD504B" w:rsidP="004344C5">
      <w:pPr>
        <w:numPr>
          <w:ilvl w:val="0"/>
          <w:numId w:val="32"/>
        </w:numPr>
        <w:spacing w:line="240" w:lineRule="auto"/>
        <w:ind w:left="1080"/>
      </w:pPr>
      <w:r w:rsidRPr="004344C5">
        <w:t>Certify understanding and agreement to CNFA’s prohibitions against fraud, bribery and kickbacks.</w:t>
      </w:r>
    </w:p>
    <w:p w14:paraId="499CF039" w14:textId="77777777" w:rsidR="00DD504B" w:rsidRPr="004344C5" w:rsidRDefault="00DD504B" w:rsidP="005E5AAD">
      <w:pPr>
        <w:spacing w:line="240" w:lineRule="auto"/>
        <w:ind w:left="360"/>
      </w:pPr>
    </w:p>
    <w:p w14:paraId="24B89C57" w14:textId="3CE21577" w:rsidR="00DD504B" w:rsidRPr="002B523D" w:rsidRDefault="00DD504B" w:rsidP="004344C5">
      <w:pPr>
        <w:rPr>
          <w:b/>
          <w:u w:val="single"/>
        </w:rPr>
      </w:pPr>
      <w:r w:rsidRPr="00A50B9F">
        <w:t xml:space="preserve">Please contact </w:t>
      </w:r>
      <w:r w:rsidRPr="004344C5">
        <w:t>Jessica Carroll at jcarroll@cnfa.org</w:t>
      </w:r>
      <w:r w:rsidRPr="00A50B9F">
        <w:t xml:space="preserve"> with any questions </w:t>
      </w:r>
      <w:r w:rsidRPr="002B523D">
        <w:t xml:space="preserve">or concerns regarding the above information or to report any potential violations. Potential violations may also be reported directly to CNFA at to </w:t>
      </w:r>
      <w:hyperlink r:id="rId12" w:history="1">
        <w:r w:rsidRPr="004344C5">
          <w:rPr>
            <w:rStyle w:val="Hyperlink"/>
          </w:rPr>
          <w:t>FraudHotline@cnfa.org</w:t>
        </w:r>
      </w:hyperlink>
      <w:r w:rsidRPr="00A50B9F">
        <w:t>.</w:t>
      </w:r>
    </w:p>
    <w:p w14:paraId="59528315" w14:textId="77777777" w:rsidR="00DD504B" w:rsidRPr="004344C5" w:rsidRDefault="00DD504B" w:rsidP="005E5AAD">
      <w:pPr>
        <w:pStyle w:val="ListParagraph"/>
        <w:ind w:left="360"/>
        <w:rPr>
          <w:b/>
          <w:u w:val="single"/>
        </w:rPr>
      </w:pPr>
    </w:p>
    <w:p w14:paraId="4D7B8F6D" w14:textId="4D8D8243" w:rsidR="00DD504B" w:rsidRPr="005E5AAD" w:rsidRDefault="00DD504B" w:rsidP="004344C5">
      <w:r w:rsidRPr="004344C5">
        <w:rPr>
          <w:b/>
          <w:u w:val="single"/>
        </w:rPr>
        <w:t>7</w:t>
      </w:r>
      <w:r w:rsidRPr="00A50B9F">
        <w:rPr>
          <w:b/>
          <w:u w:val="single"/>
        </w:rPr>
        <w:t>.2 Terms and Conditions</w:t>
      </w:r>
      <w:r w:rsidRPr="002B523D">
        <w:t>: This solicitation is subject to CNFA’s standard terms and conditions. Any resultant award will be governed by these terms and conditions; a copy of the full terms and conditions is available upon request. Please note the following terms and conditions will appl</w:t>
      </w:r>
      <w:r w:rsidRPr="005E5AAD">
        <w:t>y:</w:t>
      </w:r>
    </w:p>
    <w:p w14:paraId="183A176D" w14:textId="45CA78E2" w:rsidR="00DD504B" w:rsidRPr="004344C5" w:rsidRDefault="00DD504B" w:rsidP="004344C5">
      <w:pPr>
        <w:numPr>
          <w:ilvl w:val="0"/>
          <w:numId w:val="31"/>
        </w:numPr>
        <w:spacing w:line="240" w:lineRule="auto"/>
        <w:rPr>
          <w:b/>
          <w:u w:val="single"/>
        </w:rPr>
      </w:pPr>
      <w:r w:rsidRPr="004344C5">
        <w:t>CNFA’s standard payment terms are net 30 days after receipt and acceptance of any commodities or deliverables. Payment will only be issued to the entity submitting the offer in response to this solicitation and identified in the resulting award; payment will not be issued to a third party.</w:t>
      </w:r>
    </w:p>
    <w:p w14:paraId="07A16760" w14:textId="77777777" w:rsidR="00DD504B" w:rsidRPr="004344C5" w:rsidRDefault="00DD504B" w:rsidP="004344C5">
      <w:pPr>
        <w:numPr>
          <w:ilvl w:val="0"/>
          <w:numId w:val="31"/>
        </w:numPr>
        <w:spacing w:line="240" w:lineRule="auto"/>
      </w:pPr>
      <w:r w:rsidRPr="004344C5">
        <w:rPr>
          <w:color w:val="000000"/>
        </w:rPr>
        <w:t>No commodities or services</w:t>
      </w:r>
      <w:r w:rsidRPr="004344C5">
        <w:t xml:space="preserve"> may be supplied that are manufactured or assembled in, shipped from, transported through, or otherwise involving any of the following countries: Cuba, Iran, North Korea, Syria.</w:t>
      </w:r>
    </w:p>
    <w:p w14:paraId="77B559FA" w14:textId="4896B5DD" w:rsidR="00DD504B" w:rsidRPr="004344C5" w:rsidRDefault="00DD504B" w:rsidP="004344C5">
      <w:pPr>
        <w:numPr>
          <w:ilvl w:val="0"/>
          <w:numId w:val="31"/>
        </w:numPr>
        <w:spacing w:line="240" w:lineRule="auto"/>
      </w:pPr>
      <w:r w:rsidRPr="004344C5">
        <w:lastRenderedPageBreak/>
        <w:t>United States law prohibits transactions with, and the provision of resources and support to, individuals and organizations associated with terrorism. The supplier under any award resulting from this solicitation must ensure compliance with these laws.</w:t>
      </w:r>
    </w:p>
    <w:p w14:paraId="0349D0E6" w14:textId="201076F4" w:rsidR="00DD504B" w:rsidRPr="004344C5" w:rsidRDefault="00DD504B" w:rsidP="004344C5">
      <w:pPr>
        <w:numPr>
          <w:ilvl w:val="0"/>
          <w:numId w:val="31"/>
        </w:numPr>
        <w:spacing w:line="240" w:lineRule="auto"/>
      </w:pPr>
      <w:r w:rsidRPr="004344C5">
        <w:t xml:space="preserve">United States law prohibits engaging in any activities related to Trafficking in Persons. The supplier under any award resulting from this solicitation must ensure compliance with these laws. </w:t>
      </w:r>
    </w:p>
    <w:p w14:paraId="3CC10E7B" w14:textId="77777777" w:rsidR="00DD504B" w:rsidRPr="004344C5" w:rsidRDefault="00DD504B" w:rsidP="005E5AAD">
      <w:pPr>
        <w:spacing w:line="240" w:lineRule="auto"/>
      </w:pPr>
    </w:p>
    <w:p w14:paraId="55555BE6" w14:textId="436D1C90" w:rsidR="00DD504B" w:rsidRPr="002B523D" w:rsidRDefault="00DD504B" w:rsidP="004344C5">
      <w:r w:rsidRPr="004344C5">
        <w:rPr>
          <w:b/>
          <w:u w:val="single"/>
        </w:rPr>
        <w:t>7</w:t>
      </w:r>
      <w:r w:rsidRPr="00A50B9F">
        <w:rPr>
          <w:b/>
          <w:u w:val="single"/>
        </w:rPr>
        <w:t xml:space="preserve">.3 Disclaimers: </w:t>
      </w:r>
      <w:r w:rsidRPr="002B523D">
        <w:t xml:space="preserve">This is a </w:t>
      </w:r>
      <w:r w:rsidRPr="004344C5">
        <w:t>solicitation</w:t>
      </w:r>
      <w:r w:rsidRPr="00A50B9F">
        <w:t xml:space="preserve"> only. Issuance of this RFP does not in </w:t>
      </w:r>
      <w:r w:rsidRPr="002B523D">
        <w:t xml:space="preserve">any way obligate CNFA, </w:t>
      </w:r>
      <w:r w:rsidRPr="004344C5">
        <w:t>or USDA,</w:t>
      </w:r>
      <w:r w:rsidRPr="00A50B9F">
        <w:t xml:space="preserve"> to make an award or pay for costs incurred by potential offerors in the preparation and submission of an offer. In addition: </w:t>
      </w:r>
    </w:p>
    <w:p w14:paraId="46B370E1" w14:textId="527BAB4F"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CNFA may cancel solicitation and not award;</w:t>
      </w:r>
    </w:p>
    <w:p w14:paraId="6CFE37E9" w14:textId="77777777"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CNFA may reject any or all responses received;</w:t>
      </w:r>
    </w:p>
    <w:p w14:paraId="6FB3CD1E" w14:textId="6E340D52"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Issuance of solicitation does not constitute award commitment by CNFA;</w:t>
      </w:r>
    </w:p>
    <w:p w14:paraId="5FD0F241" w14:textId="572EEFF4"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CNFA reserves the right to disqualify any offer based on offeror failure to follow solicitation instructions;</w:t>
      </w:r>
    </w:p>
    <w:p w14:paraId="6DEA9947" w14:textId="3F90ED09"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CNFA will not compensate offerors for response to solicitation;</w:t>
      </w:r>
    </w:p>
    <w:p w14:paraId="5C0727AF" w14:textId="77777777"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CNFA reserves the right to issue award based on initial evaluation of offers without further discussion;</w:t>
      </w:r>
    </w:p>
    <w:p w14:paraId="198A5E2F" w14:textId="77777777" w:rsidR="00DD504B" w:rsidRPr="004344C5" w:rsidRDefault="00DD504B" w:rsidP="004344C5">
      <w:pPr>
        <w:pStyle w:val="ListParagraph"/>
        <w:numPr>
          <w:ilvl w:val="0"/>
          <w:numId w:val="33"/>
        </w:numPr>
        <w:suppressAutoHyphens/>
        <w:spacing w:line="240" w:lineRule="auto"/>
        <w:contextualSpacing w:val="0"/>
      </w:pPr>
      <w:r w:rsidRPr="004344C5">
        <w:t>CNFA may negotiate with short-listed offerors for their best and final offer;</w:t>
      </w:r>
    </w:p>
    <w:p w14:paraId="6C4C0358" w14:textId="77777777" w:rsidR="00DD504B" w:rsidRPr="004344C5" w:rsidRDefault="00DD504B" w:rsidP="004344C5">
      <w:pPr>
        <w:pStyle w:val="ListParagraph"/>
        <w:numPr>
          <w:ilvl w:val="0"/>
          <w:numId w:val="33"/>
        </w:numPr>
        <w:suppressAutoHyphens/>
        <w:spacing w:line="240" w:lineRule="auto"/>
        <w:contextualSpacing w:val="0"/>
      </w:pPr>
      <w:r w:rsidRPr="004344C5">
        <w:t>CNFA reserves the right to order additional quantities or units with the selected offeror;</w:t>
      </w:r>
    </w:p>
    <w:p w14:paraId="3B2931BE" w14:textId="42782369" w:rsidR="00DD504B" w:rsidRPr="004344C5" w:rsidRDefault="00DD504B" w:rsidP="004344C5">
      <w:pPr>
        <w:pStyle w:val="ListParagraph"/>
        <w:numPr>
          <w:ilvl w:val="0"/>
          <w:numId w:val="33"/>
        </w:numPr>
        <w:suppressAutoHyphens/>
        <w:spacing w:line="240" w:lineRule="auto"/>
        <w:contextualSpacing w:val="0"/>
      </w:pPr>
      <w:r w:rsidRPr="004344C5">
        <w:t xml:space="preserve">CNFA may reissue the solicitation or issue formal amendments revising the original </w:t>
      </w:r>
      <w:r w:rsidRPr="004344C5">
        <w:rPr>
          <w:rFonts w:eastAsia="Calibri"/>
        </w:rPr>
        <w:t xml:space="preserve">solicitation </w:t>
      </w:r>
      <w:r w:rsidRPr="004344C5">
        <w:t>specifications and evaluation criteria before or after receipt of proposals;</w:t>
      </w:r>
    </w:p>
    <w:p w14:paraId="366619B8" w14:textId="2F287063" w:rsidR="00DD504B" w:rsidRPr="004344C5" w:rsidRDefault="00DD504B" w:rsidP="004344C5">
      <w:pPr>
        <w:pStyle w:val="ListParagraph"/>
        <w:numPr>
          <w:ilvl w:val="0"/>
          <w:numId w:val="33"/>
        </w:numPr>
        <w:suppressAutoHyphens/>
        <w:spacing w:line="240" w:lineRule="auto"/>
        <w:contextualSpacing w:val="0"/>
      </w:pPr>
      <w:r w:rsidRPr="004344C5">
        <w:t xml:space="preserve">CNFA may modify the specifications without issuing a formal notice to all offerors when the revisions are immaterial to the scope of the </w:t>
      </w:r>
      <w:r w:rsidRPr="004344C5">
        <w:rPr>
          <w:rFonts w:eastAsia="Calibri"/>
        </w:rPr>
        <w:t>solicitation</w:t>
      </w:r>
      <w:r w:rsidRPr="004344C5">
        <w:t>;</w:t>
      </w:r>
    </w:p>
    <w:p w14:paraId="05F57D91" w14:textId="03264DDB"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CNFA may choose to award only part of the activities in the solicitation, or issue multiple awards based on multiple solicitation activities;</w:t>
      </w:r>
    </w:p>
    <w:p w14:paraId="35DECF5C" w14:textId="442F8527" w:rsidR="00DD504B" w:rsidRPr="004344C5" w:rsidRDefault="00DD504B" w:rsidP="004344C5">
      <w:pPr>
        <w:pStyle w:val="ListParagraph"/>
        <w:numPr>
          <w:ilvl w:val="0"/>
          <w:numId w:val="33"/>
        </w:numPr>
        <w:suppressAutoHyphens/>
        <w:spacing w:line="240" w:lineRule="auto"/>
        <w:contextualSpacing w:val="0"/>
        <w:rPr>
          <w:rFonts w:eastAsia="Calibri"/>
        </w:rPr>
      </w:pPr>
      <w:r w:rsidRPr="004344C5">
        <w:rPr>
          <w:rFonts w:eastAsia="Calibri"/>
        </w:rPr>
        <w:t>CNFA reserves the right to waive minor proposal deficiencies that can be corrected prior to award determination to promote competition.</w:t>
      </w:r>
    </w:p>
    <w:p w14:paraId="10233CA5" w14:textId="77777777" w:rsidR="00DD504B" w:rsidRPr="004344C5" w:rsidRDefault="00DD504B" w:rsidP="005E5AAD">
      <w:pPr>
        <w:suppressAutoHyphens/>
        <w:spacing w:line="240" w:lineRule="auto"/>
        <w:ind w:left="360"/>
      </w:pPr>
    </w:p>
    <w:p w14:paraId="2E8F6658" w14:textId="4A2956D6" w:rsidR="00DD504B" w:rsidRPr="004344C5" w:rsidRDefault="00DD504B" w:rsidP="005E5AAD">
      <w:pPr>
        <w:suppressAutoHyphens/>
        <w:spacing w:line="240" w:lineRule="auto"/>
        <w:ind w:left="360"/>
      </w:pPr>
      <w:r w:rsidRPr="004344C5">
        <w:t>In submitting a response to this RFP, offerors understand that USDA is not a party to this solicitation and the offeror agrees that any protest hereunder must be presented – in writing with full explanations – to CNFA for consideration. USDA will not consider protests regarding procurements carried out by implementing partners. CNFA, at its sole discretion, will make a final decision on any protest for this procurement.</w:t>
      </w:r>
    </w:p>
    <w:p w14:paraId="2EF52576" w14:textId="77777777" w:rsidR="00DD504B" w:rsidRPr="004344C5" w:rsidRDefault="00DD504B" w:rsidP="005E5AAD">
      <w:pPr>
        <w:suppressAutoHyphens/>
        <w:spacing w:line="240" w:lineRule="auto"/>
        <w:ind w:left="360"/>
      </w:pPr>
    </w:p>
    <w:p w14:paraId="4E5617BB" w14:textId="4E16E0BA" w:rsidR="00DD504B" w:rsidRPr="004344C5" w:rsidRDefault="00DD504B" w:rsidP="005E5AAD">
      <w:pPr>
        <w:suppressAutoHyphens/>
        <w:spacing w:line="240" w:lineRule="auto"/>
        <w:ind w:left="360"/>
      </w:pPr>
      <w:r w:rsidRPr="004344C5">
        <w:rPr>
          <w:b/>
          <w:u w:val="single"/>
        </w:rPr>
        <w:t>7.4 Eligibility</w:t>
      </w:r>
      <w:r w:rsidRPr="004344C5">
        <w:t>: By submitting an offer in response to this RFP,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04453FC8" w14:textId="53B04CC3" w:rsidR="00DD504B" w:rsidRPr="00A50B9F" w:rsidRDefault="00DD504B">
      <w:pPr>
        <w:autoSpaceDE w:val="0"/>
        <w:autoSpaceDN w:val="0"/>
        <w:adjustRightInd w:val="0"/>
        <w:contextualSpacing/>
      </w:pPr>
    </w:p>
    <w:bookmarkEnd w:id="0"/>
    <w:p w14:paraId="0FBF12CF" w14:textId="40B9E0FA" w:rsidR="0083508C" w:rsidRPr="005E5AAD" w:rsidRDefault="0083508C"/>
    <w:sectPr w:rsidR="0083508C" w:rsidRPr="005E5AAD" w:rsidSect="00100FDA">
      <w:footerReference w:type="default" r:id="rId13"/>
      <w:pgSz w:w="12240" w:h="15840" w:code="1"/>
      <w:pgMar w:top="1350" w:right="1530" w:bottom="135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D01C" w14:textId="77777777" w:rsidR="00596648" w:rsidRDefault="00596648" w:rsidP="00AB3E21">
      <w:pPr>
        <w:spacing w:line="240" w:lineRule="auto"/>
      </w:pPr>
      <w:r>
        <w:separator/>
      </w:r>
    </w:p>
  </w:endnote>
  <w:endnote w:type="continuationSeparator" w:id="0">
    <w:p w14:paraId="7FAE935C" w14:textId="77777777" w:rsidR="00596648" w:rsidRDefault="00596648" w:rsidP="00AB3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269E" w14:textId="34A2C930" w:rsidR="00AB3E21" w:rsidRPr="002F4D86" w:rsidRDefault="002F4D86" w:rsidP="002F4D86">
    <w:pPr>
      <w:pStyle w:val="Footer"/>
    </w:pPr>
    <w:r w:rsidRPr="00926CE7">
      <w:t>USDA-FFPr-2018-0</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DAC5" w14:textId="77777777" w:rsidR="00596648" w:rsidRDefault="00596648" w:rsidP="00AB3E21">
      <w:pPr>
        <w:spacing w:line="240" w:lineRule="auto"/>
      </w:pPr>
      <w:r>
        <w:separator/>
      </w:r>
    </w:p>
  </w:footnote>
  <w:footnote w:type="continuationSeparator" w:id="0">
    <w:p w14:paraId="14AD2917" w14:textId="77777777" w:rsidR="00596648" w:rsidRDefault="00596648" w:rsidP="00AB3E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EE3"/>
    <w:multiLevelType w:val="hybridMultilevel"/>
    <w:tmpl w:val="D98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24E56"/>
    <w:multiLevelType w:val="hybridMultilevel"/>
    <w:tmpl w:val="517A2B28"/>
    <w:lvl w:ilvl="0" w:tplc="151880BA">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06919"/>
    <w:multiLevelType w:val="hybridMultilevel"/>
    <w:tmpl w:val="729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62BF"/>
    <w:multiLevelType w:val="hybridMultilevel"/>
    <w:tmpl w:val="01406E84"/>
    <w:lvl w:ilvl="0" w:tplc="23A60F3C">
      <w:start w:val="1"/>
      <w:numFmt w:val="bullet"/>
      <w:lvlText w:val="•"/>
      <w:lvlJc w:val="left"/>
      <w:pPr>
        <w:tabs>
          <w:tab w:val="num" w:pos="720"/>
        </w:tabs>
        <w:ind w:left="720" w:hanging="360"/>
      </w:pPr>
      <w:rPr>
        <w:rFonts w:ascii="Arial" w:hAnsi="Arial" w:hint="default"/>
      </w:rPr>
    </w:lvl>
    <w:lvl w:ilvl="1" w:tplc="B36CD37A" w:tentative="1">
      <w:start w:val="1"/>
      <w:numFmt w:val="bullet"/>
      <w:lvlText w:val="•"/>
      <w:lvlJc w:val="left"/>
      <w:pPr>
        <w:tabs>
          <w:tab w:val="num" w:pos="1440"/>
        </w:tabs>
        <w:ind w:left="1440" w:hanging="360"/>
      </w:pPr>
      <w:rPr>
        <w:rFonts w:ascii="Arial" w:hAnsi="Arial" w:hint="default"/>
      </w:rPr>
    </w:lvl>
    <w:lvl w:ilvl="2" w:tplc="909AC8F6" w:tentative="1">
      <w:start w:val="1"/>
      <w:numFmt w:val="bullet"/>
      <w:lvlText w:val="•"/>
      <w:lvlJc w:val="left"/>
      <w:pPr>
        <w:tabs>
          <w:tab w:val="num" w:pos="2160"/>
        </w:tabs>
        <w:ind w:left="2160" w:hanging="360"/>
      </w:pPr>
      <w:rPr>
        <w:rFonts w:ascii="Arial" w:hAnsi="Arial" w:hint="default"/>
      </w:rPr>
    </w:lvl>
    <w:lvl w:ilvl="3" w:tplc="1B92141A" w:tentative="1">
      <w:start w:val="1"/>
      <w:numFmt w:val="bullet"/>
      <w:lvlText w:val="•"/>
      <w:lvlJc w:val="left"/>
      <w:pPr>
        <w:tabs>
          <w:tab w:val="num" w:pos="2880"/>
        </w:tabs>
        <w:ind w:left="2880" w:hanging="360"/>
      </w:pPr>
      <w:rPr>
        <w:rFonts w:ascii="Arial" w:hAnsi="Arial" w:hint="default"/>
      </w:rPr>
    </w:lvl>
    <w:lvl w:ilvl="4" w:tplc="84CACEF4" w:tentative="1">
      <w:start w:val="1"/>
      <w:numFmt w:val="bullet"/>
      <w:lvlText w:val="•"/>
      <w:lvlJc w:val="left"/>
      <w:pPr>
        <w:tabs>
          <w:tab w:val="num" w:pos="3600"/>
        </w:tabs>
        <w:ind w:left="3600" w:hanging="360"/>
      </w:pPr>
      <w:rPr>
        <w:rFonts w:ascii="Arial" w:hAnsi="Arial" w:hint="default"/>
      </w:rPr>
    </w:lvl>
    <w:lvl w:ilvl="5" w:tplc="2492363A" w:tentative="1">
      <w:start w:val="1"/>
      <w:numFmt w:val="bullet"/>
      <w:lvlText w:val="•"/>
      <w:lvlJc w:val="left"/>
      <w:pPr>
        <w:tabs>
          <w:tab w:val="num" w:pos="4320"/>
        </w:tabs>
        <w:ind w:left="4320" w:hanging="360"/>
      </w:pPr>
      <w:rPr>
        <w:rFonts w:ascii="Arial" w:hAnsi="Arial" w:hint="default"/>
      </w:rPr>
    </w:lvl>
    <w:lvl w:ilvl="6" w:tplc="D8502278" w:tentative="1">
      <w:start w:val="1"/>
      <w:numFmt w:val="bullet"/>
      <w:lvlText w:val="•"/>
      <w:lvlJc w:val="left"/>
      <w:pPr>
        <w:tabs>
          <w:tab w:val="num" w:pos="5040"/>
        </w:tabs>
        <w:ind w:left="5040" w:hanging="360"/>
      </w:pPr>
      <w:rPr>
        <w:rFonts w:ascii="Arial" w:hAnsi="Arial" w:hint="default"/>
      </w:rPr>
    </w:lvl>
    <w:lvl w:ilvl="7" w:tplc="B2F6FB3E" w:tentative="1">
      <w:start w:val="1"/>
      <w:numFmt w:val="bullet"/>
      <w:lvlText w:val="•"/>
      <w:lvlJc w:val="left"/>
      <w:pPr>
        <w:tabs>
          <w:tab w:val="num" w:pos="5760"/>
        </w:tabs>
        <w:ind w:left="5760" w:hanging="360"/>
      </w:pPr>
      <w:rPr>
        <w:rFonts w:ascii="Arial" w:hAnsi="Arial" w:hint="default"/>
      </w:rPr>
    </w:lvl>
    <w:lvl w:ilvl="8" w:tplc="2BF6C5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F2FA5"/>
    <w:multiLevelType w:val="hybridMultilevel"/>
    <w:tmpl w:val="727425A6"/>
    <w:lvl w:ilvl="0" w:tplc="7526AB3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F16AD"/>
    <w:multiLevelType w:val="multilevel"/>
    <w:tmpl w:val="8A4AD92A"/>
    <w:lvl w:ilvl="0">
      <w:start w:val="1"/>
      <w:numFmt w:val="decimal"/>
      <w:pStyle w:val="Heading1"/>
      <w:lvlText w:val="%1"/>
      <w:lvlJc w:val="left"/>
      <w:pPr>
        <w:ind w:left="2412" w:hanging="432"/>
      </w:pPr>
      <w:rPr>
        <w:rFonts w:ascii="Times New Roman" w:hAnsi="Times New Roman" w:cs="Times New Roman" w:hint="default"/>
        <w:sz w:val="24"/>
        <w:szCs w:val="24"/>
      </w:r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4E85674"/>
    <w:multiLevelType w:val="hybridMultilevel"/>
    <w:tmpl w:val="32B4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E44D0"/>
    <w:multiLevelType w:val="hybridMultilevel"/>
    <w:tmpl w:val="398AC9B6"/>
    <w:lvl w:ilvl="0" w:tplc="5C0CB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578D9"/>
    <w:multiLevelType w:val="hybridMultilevel"/>
    <w:tmpl w:val="F73C5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E08D6"/>
    <w:multiLevelType w:val="hybridMultilevel"/>
    <w:tmpl w:val="51DCF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49495F"/>
    <w:multiLevelType w:val="hybridMultilevel"/>
    <w:tmpl w:val="2B7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7176F"/>
    <w:multiLevelType w:val="hybridMultilevel"/>
    <w:tmpl w:val="9E220F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EF2DB2"/>
    <w:multiLevelType w:val="hybridMultilevel"/>
    <w:tmpl w:val="64F8F4F2"/>
    <w:lvl w:ilvl="0" w:tplc="72ACA2BE">
      <w:start w:val="1"/>
      <w:numFmt w:val="bullet"/>
      <w:lvlText w:val="•"/>
      <w:lvlJc w:val="left"/>
      <w:pPr>
        <w:tabs>
          <w:tab w:val="num" w:pos="720"/>
        </w:tabs>
        <w:ind w:left="720" w:hanging="360"/>
      </w:pPr>
      <w:rPr>
        <w:rFonts w:ascii="Arial" w:hAnsi="Arial" w:hint="default"/>
      </w:rPr>
    </w:lvl>
    <w:lvl w:ilvl="1" w:tplc="05C237E6" w:tentative="1">
      <w:start w:val="1"/>
      <w:numFmt w:val="bullet"/>
      <w:lvlText w:val="•"/>
      <w:lvlJc w:val="left"/>
      <w:pPr>
        <w:tabs>
          <w:tab w:val="num" w:pos="1440"/>
        </w:tabs>
        <w:ind w:left="1440" w:hanging="360"/>
      </w:pPr>
      <w:rPr>
        <w:rFonts w:ascii="Arial" w:hAnsi="Arial" w:hint="default"/>
      </w:rPr>
    </w:lvl>
    <w:lvl w:ilvl="2" w:tplc="CF326676" w:tentative="1">
      <w:start w:val="1"/>
      <w:numFmt w:val="bullet"/>
      <w:lvlText w:val="•"/>
      <w:lvlJc w:val="left"/>
      <w:pPr>
        <w:tabs>
          <w:tab w:val="num" w:pos="2160"/>
        </w:tabs>
        <w:ind w:left="2160" w:hanging="360"/>
      </w:pPr>
      <w:rPr>
        <w:rFonts w:ascii="Arial" w:hAnsi="Arial" w:hint="default"/>
      </w:rPr>
    </w:lvl>
    <w:lvl w:ilvl="3" w:tplc="236AF386" w:tentative="1">
      <w:start w:val="1"/>
      <w:numFmt w:val="bullet"/>
      <w:lvlText w:val="•"/>
      <w:lvlJc w:val="left"/>
      <w:pPr>
        <w:tabs>
          <w:tab w:val="num" w:pos="2880"/>
        </w:tabs>
        <w:ind w:left="2880" w:hanging="360"/>
      </w:pPr>
      <w:rPr>
        <w:rFonts w:ascii="Arial" w:hAnsi="Arial" w:hint="default"/>
      </w:rPr>
    </w:lvl>
    <w:lvl w:ilvl="4" w:tplc="242625B2" w:tentative="1">
      <w:start w:val="1"/>
      <w:numFmt w:val="bullet"/>
      <w:lvlText w:val="•"/>
      <w:lvlJc w:val="left"/>
      <w:pPr>
        <w:tabs>
          <w:tab w:val="num" w:pos="3600"/>
        </w:tabs>
        <w:ind w:left="3600" w:hanging="360"/>
      </w:pPr>
      <w:rPr>
        <w:rFonts w:ascii="Arial" w:hAnsi="Arial" w:hint="default"/>
      </w:rPr>
    </w:lvl>
    <w:lvl w:ilvl="5" w:tplc="98DEFC58" w:tentative="1">
      <w:start w:val="1"/>
      <w:numFmt w:val="bullet"/>
      <w:lvlText w:val="•"/>
      <w:lvlJc w:val="left"/>
      <w:pPr>
        <w:tabs>
          <w:tab w:val="num" w:pos="4320"/>
        </w:tabs>
        <w:ind w:left="4320" w:hanging="360"/>
      </w:pPr>
      <w:rPr>
        <w:rFonts w:ascii="Arial" w:hAnsi="Arial" w:hint="default"/>
      </w:rPr>
    </w:lvl>
    <w:lvl w:ilvl="6" w:tplc="5DC029B4" w:tentative="1">
      <w:start w:val="1"/>
      <w:numFmt w:val="bullet"/>
      <w:lvlText w:val="•"/>
      <w:lvlJc w:val="left"/>
      <w:pPr>
        <w:tabs>
          <w:tab w:val="num" w:pos="5040"/>
        </w:tabs>
        <w:ind w:left="5040" w:hanging="360"/>
      </w:pPr>
      <w:rPr>
        <w:rFonts w:ascii="Arial" w:hAnsi="Arial" w:hint="default"/>
      </w:rPr>
    </w:lvl>
    <w:lvl w:ilvl="7" w:tplc="40B28244" w:tentative="1">
      <w:start w:val="1"/>
      <w:numFmt w:val="bullet"/>
      <w:lvlText w:val="•"/>
      <w:lvlJc w:val="left"/>
      <w:pPr>
        <w:tabs>
          <w:tab w:val="num" w:pos="5760"/>
        </w:tabs>
        <w:ind w:left="5760" w:hanging="360"/>
      </w:pPr>
      <w:rPr>
        <w:rFonts w:ascii="Arial" w:hAnsi="Arial" w:hint="default"/>
      </w:rPr>
    </w:lvl>
    <w:lvl w:ilvl="8" w:tplc="E674AA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77333F"/>
    <w:multiLevelType w:val="hybridMultilevel"/>
    <w:tmpl w:val="F1E69F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A4077D"/>
    <w:multiLevelType w:val="hybridMultilevel"/>
    <w:tmpl w:val="D3E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92B57"/>
    <w:multiLevelType w:val="hybridMultilevel"/>
    <w:tmpl w:val="CC64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765"/>
    <w:multiLevelType w:val="hybridMultilevel"/>
    <w:tmpl w:val="59C2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A45C6"/>
    <w:multiLevelType w:val="hybridMultilevel"/>
    <w:tmpl w:val="A14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52B52"/>
    <w:multiLevelType w:val="hybridMultilevel"/>
    <w:tmpl w:val="5F3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D57956"/>
    <w:multiLevelType w:val="hybridMultilevel"/>
    <w:tmpl w:val="5AAE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7"/>
  </w:num>
  <w:num w:numId="4">
    <w:abstractNumId w:val="8"/>
  </w:num>
  <w:num w:numId="5">
    <w:abstractNumId w:val="12"/>
  </w:num>
  <w:num w:numId="6">
    <w:abstractNumId w:val="22"/>
  </w:num>
  <w:num w:numId="7">
    <w:abstractNumId w:val="7"/>
  </w:num>
  <w:num w:numId="8">
    <w:abstractNumId w:val="15"/>
  </w:num>
  <w:num w:numId="9">
    <w:abstractNumId w:val="11"/>
  </w:num>
  <w:num w:numId="10">
    <w:abstractNumId w:val="2"/>
  </w:num>
  <w:num w:numId="11">
    <w:abstractNumId w:val="16"/>
  </w:num>
  <w:num w:numId="12">
    <w:abstractNumId w:val="1"/>
  </w:num>
  <w:num w:numId="13">
    <w:abstractNumId w:val="6"/>
  </w:num>
  <w:num w:numId="14">
    <w:abstractNumId w:val="6"/>
  </w:num>
  <w:num w:numId="15">
    <w:abstractNumId w:val="6"/>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14"/>
  </w:num>
  <w:num w:numId="21">
    <w:abstractNumId w:val="4"/>
  </w:num>
  <w:num w:numId="22">
    <w:abstractNumId w:val="5"/>
  </w:num>
  <w:num w:numId="23">
    <w:abstractNumId w:val="9"/>
  </w:num>
  <w:num w:numId="24">
    <w:abstractNumId w:val="13"/>
  </w:num>
  <w:num w:numId="25">
    <w:abstractNumId w:val="20"/>
  </w:num>
  <w:num w:numId="26">
    <w:abstractNumId w:val="18"/>
  </w:num>
  <w:num w:numId="27">
    <w:abstractNumId w:val="1"/>
  </w:num>
  <w:num w:numId="28">
    <w:abstractNumId w:val="1"/>
  </w:num>
  <w:num w:numId="29">
    <w:abstractNumId w:val="1"/>
  </w:num>
  <w:num w:numId="30">
    <w:abstractNumId w:val="1"/>
  </w:num>
  <w:num w:numId="31">
    <w:abstractNumId w:val="10"/>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B9"/>
    <w:rsid w:val="000635D9"/>
    <w:rsid w:val="00064447"/>
    <w:rsid w:val="0008482F"/>
    <w:rsid w:val="000976ED"/>
    <w:rsid w:val="000A30C4"/>
    <w:rsid w:val="000A345F"/>
    <w:rsid w:val="000B6501"/>
    <w:rsid w:val="000D7F2A"/>
    <w:rsid w:val="000E3D19"/>
    <w:rsid w:val="00100FDA"/>
    <w:rsid w:val="00111EAD"/>
    <w:rsid w:val="00142B88"/>
    <w:rsid w:val="00152905"/>
    <w:rsid w:val="001976CC"/>
    <w:rsid w:val="001D4126"/>
    <w:rsid w:val="001E62B6"/>
    <w:rsid w:val="00214C8C"/>
    <w:rsid w:val="00225789"/>
    <w:rsid w:val="002263C9"/>
    <w:rsid w:val="00254C2F"/>
    <w:rsid w:val="002A382D"/>
    <w:rsid w:val="002B523D"/>
    <w:rsid w:val="002B67CC"/>
    <w:rsid w:val="002D4B52"/>
    <w:rsid w:val="002F4D7B"/>
    <w:rsid w:val="002F4D86"/>
    <w:rsid w:val="00303802"/>
    <w:rsid w:val="00314287"/>
    <w:rsid w:val="003351CD"/>
    <w:rsid w:val="00375144"/>
    <w:rsid w:val="00394539"/>
    <w:rsid w:val="003A2278"/>
    <w:rsid w:val="003A23E0"/>
    <w:rsid w:val="003B1429"/>
    <w:rsid w:val="003C3DEE"/>
    <w:rsid w:val="003E7E59"/>
    <w:rsid w:val="003F6685"/>
    <w:rsid w:val="00404A01"/>
    <w:rsid w:val="00416F69"/>
    <w:rsid w:val="00425CFE"/>
    <w:rsid w:val="0042646F"/>
    <w:rsid w:val="004344C5"/>
    <w:rsid w:val="004406CE"/>
    <w:rsid w:val="004615A1"/>
    <w:rsid w:val="0048110A"/>
    <w:rsid w:val="004931EB"/>
    <w:rsid w:val="00494F4C"/>
    <w:rsid w:val="004A2858"/>
    <w:rsid w:val="004A6E1A"/>
    <w:rsid w:val="004B2117"/>
    <w:rsid w:val="004C5D38"/>
    <w:rsid w:val="00547925"/>
    <w:rsid w:val="00550399"/>
    <w:rsid w:val="005704E6"/>
    <w:rsid w:val="005739CC"/>
    <w:rsid w:val="00577513"/>
    <w:rsid w:val="0058052D"/>
    <w:rsid w:val="00590922"/>
    <w:rsid w:val="00596011"/>
    <w:rsid w:val="00596648"/>
    <w:rsid w:val="00596C06"/>
    <w:rsid w:val="005A45AD"/>
    <w:rsid w:val="005A76B9"/>
    <w:rsid w:val="005C0532"/>
    <w:rsid w:val="005C5DF7"/>
    <w:rsid w:val="005E5AAD"/>
    <w:rsid w:val="00611508"/>
    <w:rsid w:val="00617EFC"/>
    <w:rsid w:val="006303D0"/>
    <w:rsid w:val="006466E2"/>
    <w:rsid w:val="00674B4C"/>
    <w:rsid w:val="006D2D26"/>
    <w:rsid w:val="007103A0"/>
    <w:rsid w:val="007378FD"/>
    <w:rsid w:val="0076238C"/>
    <w:rsid w:val="00790D29"/>
    <w:rsid w:val="00792CB9"/>
    <w:rsid w:val="007A7641"/>
    <w:rsid w:val="007C7380"/>
    <w:rsid w:val="007F3547"/>
    <w:rsid w:val="0083508C"/>
    <w:rsid w:val="00896070"/>
    <w:rsid w:val="008B4277"/>
    <w:rsid w:val="008D16C0"/>
    <w:rsid w:val="008E0F5B"/>
    <w:rsid w:val="008E42AB"/>
    <w:rsid w:val="00911552"/>
    <w:rsid w:val="00913C98"/>
    <w:rsid w:val="00926CE7"/>
    <w:rsid w:val="00941851"/>
    <w:rsid w:val="00983530"/>
    <w:rsid w:val="009A3560"/>
    <w:rsid w:val="009B12E0"/>
    <w:rsid w:val="009C5988"/>
    <w:rsid w:val="00A15995"/>
    <w:rsid w:val="00A41ED8"/>
    <w:rsid w:val="00A47940"/>
    <w:rsid w:val="00A50B9F"/>
    <w:rsid w:val="00A57E96"/>
    <w:rsid w:val="00A73C53"/>
    <w:rsid w:val="00AB13D5"/>
    <w:rsid w:val="00AB3E21"/>
    <w:rsid w:val="00AC26D2"/>
    <w:rsid w:val="00AF6FAB"/>
    <w:rsid w:val="00B018E2"/>
    <w:rsid w:val="00B07EC7"/>
    <w:rsid w:val="00B2359E"/>
    <w:rsid w:val="00B369DB"/>
    <w:rsid w:val="00B40279"/>
    <w:rsid w:val="00B466C4"/>
    <w:rsid w:val="00B75B46"/>
    <w:rsid w:val="00BA4310"/>
    <w:rsid w:val="00BB18E2"/>
    <w:rsid w:val="00BD1D40"/>
    <w:rsid w:val="00C35EF7"/>
    <w:rsid w:val="00C57453"/>
    <w:rsid w:val="00C713FF"/>
    <w:rsid w:val="00C76A1E"/>
    <w:rsid w:val="00C922C3"/>
    <w:rsid w:val="00CB06D5"/>
    <w:rsid w:val="00CB238B"/>
    <w:rsid w:val="00CF557B"/>
    <w:rsid w:val="00D34339"/>
    <w:rsid w:val="00D55A9B"/>
    <w:rsid w:val="00D642C8"/>
    <w:rsid w:val="00D763F6"/>
    <w:rsid w:val="00DA2DC3"/>
    <w:rsid w:val="00DD504B"/>
    <w:rsid w:val="00DF2BEE"/>
    <w:rsid w:val="00E20576"/>
    <w:rsid w:val="00E32642"/>
    <w:rsid w:val="00E341A9"/>
    <w:rsid w:val="00E5335C"/>
    <w:rsid w:val="00E63C3B"/>
    <w:rsid w:val="00E845F9"/>
    <w:rsid w:val="00E934AE"/>
    <w:rsid w:val="00EF4A13"/>
    <w:rsid w:val="00F22FAA"/>
    <w:rsid w:val="00F522BF"/>
    <w:rsid w:val="00FA0F33"/>
    <w:rsid w:val="00FB4242"/>
    <w:rsid w:val="00FD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F90D"/>
  <w15:docId w15:val="{1FE6AA78-8B7B-4864-B062-F2181698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6FAB"/>
    <w:pPr>
      <w:spacing w:after="0" w:line="240" w:lineRule="exact"/>
      <w:jc w:val="both"/>
    </w:pPr>
    <w:rPr>
      <w:rFonts w:ascii="Times New Roman" w:hAnsi="Times New Roman" w:cs="Times New Roman"/>
      <w:sz w:val="24"/>
      <w:szCs w:val="24"/>
    </w:rPr>
  </w:style>
  <w:style w:type="paragraph" w:styleId="Heading1">
    <w:name w:val="heading 1"/>
    <w:basedOn w:val="Heading2"/>
    <w:next w:val="BodyText"/>
    <w:link w:val="Heading1Char"/>
    <w:uiPriority w:val="9"/>
    <w:qFormat/>
    <w:rsid w:val="00AF6FAB"/>
    <w:pPr>
      <w:numPr>
        <w:ilvl w:val="0"/>
      </w:numPr>
      <w:pBdr>
        <w:bottom w:val="single" w:sz="8" w:space="1" w:color="002E5D"/>
      </w:pBdr>
      <w:spacing w:before="120"/>
      <w:jc w:val="left"/>
      <w:outlineLvl w:val="0"/>
    </w:pPr>
    <w:rPr>
      <w:rFonts w:cs="Times New Roman"/>
      <w:caps/>
      <w:color w:val="1F497D" w:themeColor="text2"/>
    </w:rPr>
  </w:style>
  <w:style w:type="paragraph" w:styleId="Heading2">
    <w:name w:val="heading 2"/>
    <w:basedOn w:val="Normal"/>
    <w:next w:val="BodyText"/>
    <w:link w:val="Heading2Char"/>
    <w:autoRedefine/>
    <w:uiPriority w:val="9"/>
    <w:unhideWhenUsed/>
    <w:qFormat/>
    <w:rsid w:val="00AF6FAB"/>
    <w:pPr>
      <w:keepNext/>
      <w:keepLines/>
      <w:widowControl w:val="0"/>
      <w:numPr>
        <w:ilvl w:val="1"/>
        <w:numId w:val="15"/>
      </w:numPr>
      <w:autoSpaceDE w:val="0"/>
      <w:autoSpaceDN w:val="0"/>
      <w:adjustRightInd w:val="0"/>
      <w:spacing w:before="60"/>
      <w:outlineLvl w:val="1"/>
    </w:pPr>
    <w:rPr>
      <w:rFonts w:cstheme="majorBidi"/>
      <w:b/>
      <w:bCs/>
      <w:color w:val="4F81BD" w:themeColor="accent1"/>
    </w:rPr>
  </w:style>
  <w:style w:type="paragraph" w:styleId="Heading3">
    <w:name w:val="heading 3"/>
    <w:basedOn w:val="Normal"/>
    <w:next w:val="BodyText"/>
    <w:link w:val="Heading3Char"/>
    <w:uiPriority w:val="9"/>
    <w:unhideWhenUsed/>
    <w:qFormat/>
    <w:rsid w:val="00AF6FAB"/>
    <w:pPr>
      <w:keepNext/>
      <w:keepLines/>
      <w:widowControl w:val="0"/>
      <w:numPr>
        <w:ilvl w:val="2"/>
        <w:numId w:val="15"/>
      </w:numPr>
      <w:autoSpaceDE w:val="0"/>
      <w:autoSpaceDN w:val="0"/>
      <w:adjustRightInd w:val="0"/>
      <w:spacing w:before="80"/>
      <w:outlineLvl w:val="2"/>
    </w:pPr>
    <w:rPr>
      <w:rFonts w:eastAsiaTheme="majorEastAsia"/>
      <w:b/>
      <w:bCs/>
      <w:color w:val="8064A2" w:themeColor="accent4"/>
      <w:spacing w:val="-6"/>
      <w:szCs w:val="23"/>
    </w:rPr>
  </w:style>
  <w:style w:type="paragraph" w:styleId="Heading4">
    <w:name w:val="heading 4"/>
    <w:basedOn w:val="BodyText"/>
    <w:next w:val="BodyText"/>
    <w:link w:val="Heading4Char"/>
    <w:uiPriority w:val="9"/>
    <w:unhideWhenUsed/>
    <w:qFormat/>
    <w:rsid w:val="00AF6FAB"/>
    <w:pPr>
      <w:outlineLvl w:val="3"/>
    </w:pPr>
    <w:rPr>
      <w:b/>
      <w:color w:val="1F497D" w:themeColor="text2"/>
    </w:rPr>
  </w:style>
  <w:style w:type="paragraph" w:styleId="Heading5">
    <w:name w:val="heading 5"/>
    <w:basedOn w:val="Normal"/>
    <w:next w:val="Normal"/>
    <w:link w:val="Heading5Char"/>
    <w:uiPriority w:val="9"/>
    <w:unhideWhenUsed/>
    <w:qFormat/>
    <w:rsid w:val="00AF6FAB"/>
    <w:pPr>
      <w:keepNext/>
      <w:keepLines/>
      <w:widowControl w:val="0"/>
      <w:autoSpaceDE w:val="0"/>
      <w:autoSpaceDN w:val="0"/>
      <w:adjustRightInd w:val="0"/>
      <w:ind w:left="1350" w:hanging="1350"/>
      <w:outlineLvl w:val="4"/>
    </w:pPr>
    <w:rPr>
      <w:rFonts w:ascii="Calibri" w:eastAsiaTheme="majorEastAsia" w:hAnsi="Calibri" w:cs="Arial"/>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6FAB"/>
    <w:pPr>
      <w:spacing w:after="120"/>
    </w:pPr>
  </w:style>
  <w:style w:type="character" w:customStyle="1" w:styleId="BodyTextChar">
    <w:name w:val="Body Text Char"/>
    <w:basedOn w:val="DefaultParagraphFont"/>
    <w:link w:val="BodyText"/>
    <w:uiPriority w:val="1"/>
    <w:rsid w:val="00AF6FAB"/>
    <w:rPr>
      <w:rFonts w:ascii="Times New Roman" w:hAnsi="Times New Roman" w:cs="Times New Roman"/>
      <w:sz w:val="24"/>
      <w:szCs w:val="24"/>
    </w:rPr>
  </w:style>
  <w:style w:type="table" w:customStyle="1" w:styleId="CNFAProposal">
    <w:name w:val="CNFA Proposal"/>
    <w:basedOn w:val="TableGrid1"/>
    <w:uiPriority w:val="99"/>
    <w:rsid w:val="00AF6FAB"/>
    <w:pPr>
      <w:widowControl w:val="0"/>
      <w:autoSpaceDE w:val="0"/>
      <w:autoSpaceDN w:val="0"/>
      <w:adjustRightInd w:val="0"/>
      <w:spacing w:line="200" w:lineRule="exact"/>
      <w:jc w:val="both"/>
    </w:pPr>
    <w:rPr>
      <w:rFonts w:ascii="Times New Roman" w:hAnsi="Times New Roman"/>
      <w:spacing w:val="-2"/>
      <w:sz w:val="20"/>
      <w:szCs w:val="20"/>
    </w:rPr>
    <w:tblPr>
      <w:tblStyleRowBandSize w:val="1"/>
      <w:tblBorders>
        <w:top w:val="single" w:sz="4" w:space="0" w:color="98DBCE"/>
        <w:left w:val="single" w:sz="4" w:space="0" w:color="98DBCE"/>
        <w:bottom w:val="single" w:sz="4" w:space="0" w:color="98DBCE"/>
        <w:right w:val="single" w:sz="4" w:space="0" w:color="98DBCE"/>
        <w:insideH w:val="single" w:sz="4" w:space="0" w:color="98DBCE"/>
        <w:insideV w:val="single" w:sz="4" w:space="0" w:color="98DBCE"/>
      </w:tblBorders>
    </w:tblPr>
    <w:tcPr>
      <w:shd w:val="clear" w:color="auto" w:fill="auto"/>
      <w:vAlign w:val="center"/>
    </w:tcPr>
    <w:tblStylePr w:type="firstRow">
      <w:pPr>
        <w:jc w:val="center"/>
      </w:pPr>
      <w:rPr>
        <w:rFonts w:asciiTheme="minorHAnsi" w:hAnsiTheme="minorHAnsi"/>
        <w:b/>
        <w:i w:val="0"/>
        <w:color w:val="FFFFFF" w:themeColor="background1"/>
        <w:sz w:val="20"/>
      </w:rPr>
      <w:tblPr/>
      <w:tcPr>
        <w:tcBorders>
          <w:top w:val="single" w:sz="4" w:space="0" w:color="98DBCE"/>
          <w:left w:val="single" w:sz="4" w:space="0" w:color="98DBCE"/>
          <w:bottom w:val="single" w:sz="4" w:space="0" w:color="98DBCE"/>
          <w:right w:val="single" w:sz="4" w:space="0" w:color="98DBCE"/>
          <w:insideH w:val="single" w:sz="4" w:space="0" w:color="98DBCE"/>
          <w:insideV w:val="single" w:sz="4" w:space="0" w:color="98DBCE"/>
        </w:tcBorders>
        <w:shd w:val="clear" w:color="auto" w:fill="98DBCE"/>
      </w:tcPr>
    </w:tblStylePr>
    <w:tblStylePr w:type="lastRow">
      <w:pPr>
        <w:wordWrap/>
        <w:spacing w:beforeLines="0" w:before="0" w:beforeAutospacing="0" w:afterLines="0" w:after="0" w:afterAutospacing="0" w:line="220" w:lineRule="exact"/>
      </w:pPr>
      <w:rPr>
        <w:rFonts w:asciiTheme="minorHAnsi" w:hAnsiTheme="minorHAnsi"/>
        <w:i w:val="0"/>
        <w:iCs/>
        <w:caps w:val="0"/>
        <w:smallCaps w:val="0"/>
        <w:strike w:val="0"/>
        <w:dstrike w:val="0"/>
        <w:vanish w:val="0"/>
        <w:color w:val="auto"/>
        <w:spacing w:val="-2"/>
        <w:sz w:val="22"/>
        <w:vertAlign w:val="baseline"/>
      </w:rPr>
      <w:tblPr/>
      <w:tcPr>
        <w:tcBorders>
          <w:tl2br w:val="none" w:sz="0" w:space="0" w:color="auto"/>
          <w:tr2bl w:val="none" w:sz="0" w:space="0" w:color="auto"/>
        </w:tcBorders>
      </w:tcPr>
    </w:tblStylePr>
    <w:tblStylePr w:type="firstCol">
      <w:rPr>
        <w:rFonts w:asciiTheme="minorHAnsi" w:hAnsiTheme="minorHAnsi"/>
        <w:b w:val="0"/>
        <w:color w:val="auto"/>
        <w:sz w:val="20"/>
      </w:rPr>
    </w:tblStylePr>
    <w:tblStylePr w:type="lastCol">
      <w:rPr>
        <w:i/>
        <w:iCs/>
      </w:rPr>
      <w:tblPr/>
      <w:tcPr>
        <w:tcBorders>
          <w:tl2br w:val="none" w:sz="0" w:space="0" w:color="auto"/>
          <w:tr2bl w:val="none" w:sz="0" w:space="0" w:color="auto"/>
        </w:tcBorders>
      </w:tcPr>
    </w:tblStylePr>
    <w:tblStylePr w:type="band1Horz">
      <w:rPr>
        <w:rFonts w:asciiTheme="minorHAnsi" w:hAnsiTheme="minorHAnsi"/>
        <w:sz w:val="20"/>
      </w:rPr>
      <w:tblPr/>
      <w:tcPr>
        <w:tcBorders>
          <w:top w:val="single" w:sz="4" w:space="0" w:color="98DBCE"/>
          <w:left w:val="single" w:sz="4" w:space="0" w:color="98DBCE"/>
          <w:bottom w:val="single" w:sz="4" w:space="0" w:color="98DBCE"/>
          <w:right w:val="single" w:sz="4" w:space="0" w:color="98DBCE"/>
          <w:insideH w:val="single" w:sz="4" w:space="0" w:color="98DBCE"/>
          <w:insideV w:val="single" w:sz="4" w:space="0" w:color="98DBCE"/>
        </w:tcBorders>
      </w:tcPr>
    </w:tblStylePr>
    <w:tblStylePr w:type="band2Horz">
      <w:tblPr/>
      <w:tcPr>
        <w:tcBorders>
          <w:top w:val="single" w:sz="4" w:space="0" w:color="98DBCE"/>
          <w:left w:val="single" w:sz="4" w:space="0" w:color="98DBCE"/>
          <w:bottom w:val="single" w:sz="4" w:space="0" w:color="98DBCE"/>
          <w:right w:val="single" w:sz="4" w:space="0" w:color="98DBCE"/>
          <w:insideH w:val="single" w:sz="4" w:space="0" w:color="98DBCE"/>
          <w:insideV w:val="single" w:sz="4" w:space="0" w:color="98DBCE"/>
        </w:tcBorders>
      </w:tcPr>
    </w:tblStylePr>
    <w:tblStylePr w:type="swCell">
      <w:rPr>
        <w:rFonts w:ascii="Calibri" w:hAnsi="Calibri"/>
        <w:b w:val="0"/>
        <w:i w:val="0"/>
        <w:caps w:val="0"/>
        <w:smallCaps w:val="0"/>
        <w:strike w:val="0"/>
        <w:dstrike w:val="0"/>
        <w:vanish w:val="0"/>
        <w:sz w:val="22"/>
        <w:vertAlign w:val="baseline"/>
      </w:rPr>
    </w:tblStylePr>
  </w:style>
  <w:style w:type="table" w:styleId="TableGrid1">
    <w:name w:val="Table Grid 1"/>
    <w:basedOn w:val="TableNormal"/>
    <w:uiPriority w:val="99"/>
    <w:semiHidden/>
    <w:unhideWhenUsed/>
    <w:rsid w:val="00AF6FA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NFATable1">
    <w:name w:val="CNFA Table 1"/>
    <w:basedOn w:val="TableNormal"/>
    <w:uiPriority w:val="99"/>
    <w:rsid w:val="00AF6FAB"/>
    <w:pPr>
      <w:spacing w:after="0" w:line="200" w:lineRule="exact"/>
    </w:pPr>
    <w:rPr>
      <w:rFonts w:ascii="Times New Roman" w:hAnsi="Times New Roman"/>
    </w:rPr>
    <w:tblPr>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cPr>
      <w:shd w:val="clear" w:color="auto" w:fill="auto"/>
      <w:vAlign w:val="center"/>
    </w:tcPr>
    <w:tblStylePr w:type="firstRow">
      <w:pPr>
        <w:jc w:val="center"/>
      </w:pPr>
      <w:rPr>
        <w:rFonts w:asciiTheme="minorHAnsi" w:hAnsiTheme="minorHAnsi"/>
        <w:b/>
        <w:color w:val="auto"/>
        <w:sz w:val="22"/>
      </w:rPr>
      <w:tblPr/>
      <w:tcPr>
        <w:shd w:val="clear" w:color="auto" w:fill="1F497D" w:themeFill="text2"/>
      </w:tcPr>
    </w:tblStylePr>
  </w:style>
  <w:style w:type="table" w:customStyle="1" w:styleId="CNFATable21">
    <w:name w:val="CNFA Table21"/>
    <w:basedOn w:val="TableNormal"/>
    <w:uiPriority w:val="99"/>
    <w:rsid w:val="00AF6FAB"/>
    <w:pPr>
      <w:spacing w:after="0" w:line="240" w:lineRule="auto"/>
      <w:ind w:left="216"/>
      <w:contextualSpacing/>
    </w:pPr>
    <w:rPr>
      <w:rFonts w:ascii="Times New Roman" w:eastAsia="Calibri" w:hAnsi="Times New Roman" w:cs="Times New Roman"/>
      <w:spacing w:val="-2"/>
      <w:sz w:val="20"/>
    </w:rPr>
    <w:tblPr>
      <w:tblStyleRowBandSize w:val="1"/>
      <w:tblStyleColBandSize w:val="1"/>
    </w:tblPr>
    <w:tcPr>
      <w:vAlign w:val="center"/>
    </w:tcPr>
    <w:tblStylePr w:type="firstRow">
      <w:pPr>
        <w:jc w:val="center"/>
      </w:pPr>
      <w:rPr>
        <w:rFonts w:asciiTheme="minorHAnsi" w:hAnsiTheme="minorHAnsi"/>
        <w:color w:val="FFFFFF" w:themeColor="background1"/>
        <w:sz w:val="22"/>
      </w:rPr>
      <w:tblPr/>
      <w:tcPr>
        <w:shd w:val="clear" w:color="auto" w:fill="002E5D"/>
        <w:vAlign w:val="center"/>
      </w:tcPr>
    </w:tblStylePr>
    <w:tblStylePr w:type="band1Horz">
      <w:tblPr/>
      <w:tcPr>
        <w:shd w:val="clear" w:color="auto" w:fill="B3D9FF"/>
      </w:tcPr>
    </w:tblStylePr>
    <w:tblStylePr w:type="band2Horz">
      <w:tblPr/>
      <w:tcPr>
        <w:shd w:val="clear" w:color="auto" w:fill="D9ECFF"/>
      </w:tcPr>
    </w:tblStylePr>
  </w:style>
  <w:style w:type="paragraph" w:customStyle="1" w:styleId="bullets">
    <w:name w:val="bullets"/>
    <w:basedOn w:val="Normal"/>
    <w:link w:val="bulletsChar"/>
    <w:qFormat/>
    <w:rsid w:val="00AF6FAB"/>
    <w:pPr>
      <w:numPr>
        <w:numId w:val="16"/>
      </w:numPr>
    </w:pPr>
    <w:rPr>
      <w:rFonts w:eastAsiaTheme="minorEastAsia"/>
      <w:spacing w:val="-6"/>
    </w:rPr>
  </w:style>
  <w:style w:type="character" w:customStyle="1" w:styleId="bulletsChar">
    <w:name w:val="bullets Char"/>
    <w:basedOn w:val="DefaultParagraphFont"/>
    <w:link w:val="bullets"/>
    <w:rsid w:val="00AF6FAB"/>
    <w:rPr>
      <w:rFonts w:ascii="Times New Roman" w:eastAsiaTheme="minorEastAsia" w:hAnsi="Times New Roman" w:cs="Times New Roman"/>
      <w:spacing w:val="-6"/>
      <w:sz w:val="24"/>
      <w:szCs w:val="24"/>
    </w:rPr>
  </w:style>
  <w:style w:type="character" w:styleId="Emphasis">
    <w:name w:val="Emphasis"/>
    <w:basedOn w:val="DefaultParagraphFont"/>
    <w:uiPriority w:val="20"/>
    <w:qFormat/>
    <w:rsid w:val="00AF6FAB"/>
    <w:rPr>
      <w:b/>
      <w:i/>
      <w:iCs/>
      <w:color w:val="C0504D" w:themeColor="accent2"/>
    </w:rPr>
  </w:style>
  <w:style w:type="paragraph" w:styleId="Footer">
    <w:name w:val="footer"/>
    <w:basedOn w:val="Normal"/>
    <w:link w:val="FooterChar"/>
    <w:uiPriority w:val="99"/>
    <w:unhideWhenUsed/>
    <w:rsid w:val="00AF6FAB"/>
    <w:pPr>
      <w:tabs>
        <w:tab w:val="center" w:pos="4680"/>
        <w:tab w:val="right" w:pos="9360"/>
      </w:tabs>
    </w:pPr>
  </w:style>
  <w:style w:type="character" w:customStyle="1" w:styleId="FooterChar">
    <w:name w:val="Footer Char"/>
    <w:basedOn w:val="DefaultParagraphFont"/>
    <w:link w:val="Footer"/>
    <w:uiPriority w:val="99"/>
    <w:rsid w:val="00AF6FAB"/>
    <w:rPr>
      <w:rFonts w:ascii="Times New Roman" w:hAnsi="Times New Roman" w:cs="Times New Roman"/>
      <w:sz w:val="24"/>
      <w:szCs w:val="24"/>
    </w:rPr>
  </w:style>
  <w:style w:type="paragraph" w:styleId="Header">
    <w:name w:val="header"/>
    <w:basedOn w:val="Normal"/>
    <w:link w:val="HeaderChar"/>
    <w:uiPriority w:val="99"/>
    <w:unhideWhenUsed/>
    <w:qFormat/>
    <w:rsid w:val="00AF6FAB"/>
    <w:pPr>
      <w:tabs>
        <w:tab w:val="center" w:pos="4680"/>
        <w:tab w:val="right" w:pos="9360"/>
      </w:tabs>
    </w:pPr>
    <w:rPr>
      <w:rFonts w:asciiTheme="minorHAnsi" w:hAnsiTheme="minorHAnsi" w:cstheme="minorHAnsi"/>
      <w:caps/>
      <w:spacing w:val="-6"/>
      <w:sz w:val="18"/>
    </w:rPr>
  </w:style>
  <w:style w:type="character" w:customStyle="1" w:styleId="HeaderChar">
    <w:name w:val="Header Char"/>
    <w:basedOn w:val="DefaultParagraphFont"/>
    <w:link w:val="Header"/>
    <w:uiPriority w:val="99"/>
    <w:rsid w:val="00AF6FAB"/>
    <w:rPr>
      <w:rFonts w:cstheme="minorHAnsi"/>
      <w:caps/>
      <w:spacing w:val="-6"/>
      <w:sz w:val="18"/>
      <w:szCs w:val="24"/>
    </w:rPr>
  </w:style>
  <w:style w:type="character" w:customStyle="1" w:styleId="Heading2Char">
    <w:name w:val="Heading 2 Char"/>
    <w:basedOn w:val="DefaultParagraphFont"/>
    <w:link w:val="Heading2"/>
    <w:uiPriority w:val="9"/>
    <w:rsid w:val="00AF6FAB"/>
    <w:rPr>
      <w:rFonts w:ascii="Times New Roman" w:eastAsia="Times New Roman" w:hAnsi="Times New Roman" w:cstheme="majorBidi"/>
      <w:b/>
      <w:bCs/>
      <w:color w:val="4F81BD" w:themeColor="accent1"/>
      <w:sz w:val="24"/>
      <w:szCs w:val="24"/>
    </w:rPr>
  </w:style>
  <w:style w:type="character" w:customStyle="1" w:styleId="Heading1Char">
    <w:name w:val="Heading 1 Char"/>
    <w:basedOn w:val="DefaultParagraphFont"/>
    <w:link w:val="Heading1"/>
    <w:uiPriority w:val="9"/>
    <w:rsid w:val="00AF6FAB"/>
    <w:rPr>
      <w:rFonts w:ascii="Times New Roman" w:eastAsia="Times New Roman" w:hAnsi="Times New Roman" w:cs="Times New Roman"/>
      <w:b/>
      <w:bCs/>
      <w:caps/>
      <w:color w:val="1F497D" w:themeColor="text2"/>
      <w:sz w:val="24"/>
      <w:szCs w:val="24"/>
    </w:rPr>
  </w:style>
  <w:style w:type="character" w:customStyle="1" w:styleId="Heading3Char">
    <w:name w:val="Heading 3 Char"/>
    <w:basedOn w:val="DefaultParagraphFont"/>
    <w:link w:val="Heading3"/>
    <w:uiPriority w:val="9"/>
    <w:rsid w:val="00AF6FAB"/>
    <w:rPr>
      <w:rFonts w:ascii="Times New Roman" w:eastAsiaTheme="majorEastAsia" w:hAnsi="Times New Roman" w:cs="Times New Roman"/>
      <w:b/>
      <w:bCs/>
      <w:color w:val="8064A2" w:themeColor="accent4"/>
      <w:spacing w:val="-6"/>
      <w:sz w:val="24"/>
      <w:szCs w:val="23"/>
    </w:rPr>
  </w:style>
  <w:style w:type="character" w:customStyle="1" w:styleId="Heading4Char">
    <w:name w:val="Heading 4 Char"/>
    <w:basedOn w:val="DefaultParagraphFont"/>
    <w:link w:val="Heading4"/>
    <w:uiPriority w:val="9"/>
    <w:rsid w:val="00AF6FAB"/>
    <w:rPr>
      <w:rFonts w:ascii="Times New Roman" w:hAnsi="Times New Roman" w:cs="Times New Roman"/>
      <w:b/>
      <w:color w:val="1F497D" w:themeColor="text2"/>
      <w:sz w:val="24"/>
      <w:szCs w:val="24"/>
    </w:rPr>
  </w:style>
  <w:style w:type="character" w:customStyle="1" w:styleId="Heading5Char">
    <w:name w:val="Heading 5 Char"/>
    <w:basedOn w:val="DefaultParagraphFont"/>
    <w:link w:val="Heading5"/>
    <w:uiPriority w:val="9"/>
    <w:rsid w:val="00AF6FAB"/>
    <w:rPr>
      <w:rFonts w:ascii="Calibri" w:eastAsiaTheme="majorEastAsia" w:hAnsi="Calibri" w:cs="Arial"/>
      <w:b/>
      <w:spacing w:val="-6"/>
      <w:szCs w:val="24"/>
    </w:rPr>
  </w:style>
  <w:style w:type="character" w:styleId="IntenseEmphasis">
    <w:name w:val="Intense Emphasis"/>
    <w:basedOn w:val="DefaultParagraphFont"/>
    <w:uiPriority w:val="21"/>
    <w:qFormat/>
    <w:rsid w:val="00AF6FAB"/>
    <w:rPr>
      <w:rFonts w:eastAsia="Calibri"/>
      <w:b/>
      <w:bCs/>
      <w:i/>
      <w:iCs/>
      <w:color w:val="1F497D" w:themeColor="text2"/>
      <w:spacing w:val="-2"/>
      <w:sz w:val="24"/>
    </w:rPr>
  </w:style>
  <w:style w:type="paragraph" w:customStyle="1" w:styleId="lastbullet">
    <w:name w:val="last bullet"/>
    <w:basedOn w:val="bullets"/>
    <w:link w:val="lastbulletChar"/>
    <w:qFormat/>
    <w:rsid w:val="00AF6FAB"/>
    <w:pPr>
      <w:spacing w:after="120"/>
    </w:pPr>
  </w:style>
  <w:style w:type="character" w:customStyle="1" w:styleId="lastbulletChar">
    <w:name w:val="last bullet Char"/>
    <w:basedOn w:val="bulletsChar"/>
    <w:link w:val="lastbullet"/>
    <w:rsid w:val="00AF6FAB"/>
    <w:rPr>
      <w:rFonts w:ascii="Times New Roman" w:eastAsiaTheme="minorEastAsia" w:hAnsi="Times New Roman" w:cs="Times New Roman"/>
      <w:spacing w:val="-6"/>
      <w:sz w:val="24"/>
      <w:szCs w:val="24"/>
    </w:rPr>
  </w:style>
  <w:style w:type="paragraph" w:styleId="ListParagraph">
    <w:name w:val="List Paragraph"/>
    <w:basedOn w:val="Normal"/>
    <w:uiPriority w:val="34"/>
    <w:qFormat/>
    <w:rsid w:val="00AF6FAB"/>
    <w:pPr>
      <w:ind w:left="720"/>
      <w:contextualSpacing/>
    </w:pPr>
  </w:style>
  <w:style w:type="character" w:styleId="CommentReference">
    <w:name w:val="annotation reference"/>
    <w:basedOn w:val="DefaultParagraphFont"/>
    <w:uiPriority w:val="99"/>
    <w:semiHidden/>
    <w:unhideWhenUsed/>
    <w:rsid w:val="000A345F"/>
    <w:rPr>
      <w:sz w:val="16"/>
      <w:szCs w:val="16"/>
    </w:rPr>
  </w:style>
  <w:style w:type="paragraph" w:styleId="CommentText">
    <w:name w:val="annotation text"/>
    <w:basedOn w:val="Normal"/>
    <w:link w:val="CommentTextChar"/>
    <w:uiPriority w:val="99"/>
    <w:semiHidden/>
    <w:unhideWhenUsed/>
    <w:rsid w:val="000A345F"/>
    <w:pPr>
      <w:spacing w:line="240" w:lineRule="auto"/>
    </w:pPr>
    <w:rPr>
      <w:sz w:val="20"/>
      <w:szCs w:val="20"/>
    </w:rPr>
  </w:style>
  <w:style w:type="character" w:customStyle="1" w:styleId="CommentTextChar">
    <w:name w:val="Comment Text Char"/>
    <w:basedOn w:val="DefaultParagraphFont"/>
    <w:link w:val="CommentText"/>
    <w:uiPriority w:val="99"/>
    <w:semiHidden/>
    <w:rsid w:val="000A345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45F"/>
    <w:rPr>
      <w:b/>
      <w:bCs/>
    </w:rPr>
  </w:style>
  <w:style w:type="character" w:customStyle="1" w:styleId="CommentSubjectChar">
    <w:name w:val="Comment Subject Char"/>
    <w:basedOn w:val="CommentTextChar"/>
    <w:link w:val="CommentSubject"/>
    <w:uiPriority w:val="99"/>
    <w:semiHidden/>
    <w:rsid w:val="000A345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34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5F"/>
    <w:rPr>
      <w:rFonts w:ascii="Segoe UI" w:hAnsi="Segoe UI" w:cs="Segoe UI"/>
      <w:sz w:val="18"/>
      <w:szCs w:val="18"/>
    </w:rPr>
  </w:style>
  <w:style w:type="character" w:styleId="Hyperlink">
    <w:name w:val="Hyperlink"/>
    <w:basedOn w:val="DefaultParagraphFont"/>
    <w:uiPriority w:val="99"/>
    <w:unhideWhenUsed/>
    <w:rsid w:val="00DD504B"/>
    <w:rPr>
      <w:color w:val="0000FF"/>
      <w:u w:val="single"/>
    </w:rPr>
  </w:style>
  <w:style w:type="character" w:customStyle="1" w:styleId="UnresolvedMention">
    <w:name w:val="Unresolved Mention"/>
    <w:basedOn w:val="DefaultParagraphFont"/>
    <w:uiPriority w:val="99"/>
    <w:semiHidden/>
    <w:unhideWhenUsed/>
    <w:rsid w:val="00440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8027">
      <w:bodyDiv w:val="1"/>
      <w:marLeft w:val="0"/>
      <w:marRight w:val="0"/>
      <w:marTop w:val="0"/>
      <w:marBottom w:val="0"/>
      <w:divBdr>
        <w:top w:val="none" w:sz="0" w:space="0" w:color="auto"/>
        <w:left w:val="none" w:sz="0" w:space="0" w:color="auto"/>
        <w:bottom w:val="none" w:sz="0" w:space="0" w:color="auto"/>
        <w:right w:val="none" w:sz="0" w:space="0" w:color="auto"/>
      </w:divBdr>
      <w:divsChild>
        <w:div w:id="3018128">
          <w:marLeft w:val="446"/>
          <w:marRight w:val="0"/>
          <w:marTop w:val="0"/>
          <w:marBottom w:val="0"/>
          <w:divBdr>
            <w:top w:val="none" w:sz="0" w:space="0" w:color="auto"/>
            <w:left w:val="none" w:sz="0" w:space="0" w:color="auto"/>
            <w:bottom w:val="none" w:sz="0" w:space="0" w:color="auto"/>
            <w:right w:val="none" w:sz="0" w:space="0" w:color="auto"/>
          </w:divBdr>
        </w:div>
        <w:div w:id="25109724">
          <w:marLeft w:val="446"/>
          <w:marRight w:val="0"/>
          <w:marTop w:val="0"/>
          <w:marBottom w:val="0"/>
          <w:divBdr>
            <w:top w:val="none" w:sz="0" w:space="0" w:color="auto"/>
            <w:left w:val="none" w:sz="0" w:space="0" w:color="auto"/>
            <w:bottom w:val="none" w:sz="0" w:space="0" w:color="auto"/>
            <w:right w:val="none" w:sz="0" w:space="0" w:color="auto"/>
          </w:divBdr>
        </w:div>
        <w:div w:id="115103027">
          <w:marLeft w:val="446"/>
          <w:marRight w:val="0"/>
          <w:marTop w:val="0"/>
          <w:marBottom w:val="0"/>
          <w:divBdr>
            <w:top w:val="none" w:sz="0" w:space="0" w:color="auto"/>
            <w:left w:val="none" w:sz="0" w:space="0" w:color="auto"/>
            <w:bottom w:val="none" w:sz="0" w:space="0" w:color="auto"/>
            <w:right w:val="none" w:sz="0" w:space="0" w:color="auto"/>
          </w:divBdr>
        </w:div>
        <w:div w:id="456685661">
          <w:marLeft w:val="446"/>
          <w:marRight w:val="0"/>
          <w:marTop w:val="0"/>
          <w:marBottom w:val="0"/>
          <w:divBdr>
            <w:top w:val="none" w:sz="0" w:space="0" w:color="auto"/>
            <w:left w:val="none" w:sz="0" w:space="0" w:color="auto"/>
            <w:bottom w:val="none" w:sz="0" w:space="0" w:color="auto"/>
            <w:right w:val="none" w:sz="0" w:space="0" w:color="auto"/>
          </w:divBdr>
        </w:div>
        <w:div w:id="465246120">
          <w:marLeft w:val="446"/>
          <w:marRight w:val="0"/>
          <w:marTop w:val="0"/>
          <w:marBottom w:val="0"/>
          <w:divBdr>
            <w:top w:val="none" w:sz="0" w:space="0" w:color="auto"/>
            <w:left w:val="none" w:sz="0" w:space="0" w:color="auto"/>
            <w:bottom w:val="none" w:sz="0" w:space="0" w:color="auto"/>
            <w:right w:val="none" w:sz="0" w:space="0" w:color="auto"/>
          </w:divBdr>
        </w:div>
        <w:div w:id="481166928">
          <w:marLeft w:val="446"/>
          <w:marRight w:val="0"/>
          <w:marTop w:val="0"/>
          <w:marBottom w:val="0"/>
          <w:divBdr>
            <w:top w:val="none" w:sz="0" w:space="0" w:color="auto"/>
            <w:left w:val="none" w:sz="0" w:space="0" w:color="auto"/>
            <w:bottom w:val="none" w:sz="0" w:space="0" w:color="auto"/>
            <w:right w:val="none" w:sz="0" w:space="0" w:color="auto"/>
          </w:divBdr>
        </w:div>
        <w:div w:id="1503819758">
          <w:marLeft w:val="446"/>
          <w:marRight w:val="0"/>
          <w:marTop w:val="0"/>
          <w:marBottom w:val="0"/>
          <w:divBdr>
            <w:top w:val="none" w:sz="0" w:space="0" w:color="auto"/>
            <w:left w:val="none" w:sz="0" w:space="0" w:color="auto"/>
            <w:bottom w:val="none" w:sz="0" w:space="0" w:color="auto"/>
            <w:right w:val="none" w:sz="0" w:space="0" w:color="auto"/>
          </w:divBdr>
        </w:div>
      </w:divsChild>
    </w:div>
    <w:div w:id="947196965">
      <w:bodyDiv w:val="1"/>
      <w:marLeft w:val="0"/>
      <w:marRight w:val="0"/>
      <w:marTop w:val="0"/>
      <w:marBottom w:val="0"/>
      <w:divBdr>
        <w:top w:val="none" w:sz="0" w:space="0" w:color="auto"/>
        <w:left w:val="none" w:sz="0" w:space="0" w:color="auto"/>
        <w:bottom w:val="none" w:sz="0" w:space="0" w:color="auto"/>
        <w:right w:val="none" w:sz="0" w:space="0" w:color="auto"/>
      </w:divBdr>
    </w:div>
    <w:div w:id="1715692636">
      <w:bodyDiv w:val="1"/>
      <w:marLeft w:val="0"/>
      <w:marRight w:val="0"/>
      <w:marTop w:val="0"/>
      <w:marBottom w:val="0"/>
      <w:divBdr>
        <w:top w:val="none" w:sz="0" w:space="0" w:color="auto"/>
        <w:left w:val="none" w:sz="0" w:space="0" w:color="auto"/>
        <w:bottom w:val="none" w:sz="0" w:space="0" w:color="auto"/>
        <w:right w:val="none" w:sz="0" w:space="0" w:color="auto"/>
      </w:divBdr>
      <w:divsChild>
        <w:div w:id="471793916">
          <w:marLeft w:val="446"/>
          <w:marRight w:val="0"/>
          <w:marTop w:val="0"/>
          <w:marBottom w:val="0"/>
          <w:divBdr>
            <w:top w:val="none" w:sz="0" w:space="0" w:color="auto"/>
            <w:left w:val="none" w:sz="0" w:space="0" w:color="auto"/>
            <w:bottom w:val="none" w:sz="0" w:space="0" w:color="auto"/>
            <w:right w:val="none" w:sz="0" w:space="0" w:color="auto"/>
          </w:divBdr>
        </w:div>
        <w:div w:id="780144721">
          <w:marLeft w:val="446"/>
          <w:marRight w:val="0"/>
          <w:marTop w:val="0"/>
          <w:marBottom w:val="0"/>
          <w:divBdr>
            <w:top w:val="none" w:sz="0" w:space="0" w:color="auto"/>
            <w:left w:val="none" w:sz="0" w:space="0" w:color="auto"/>
            <w:bottom w:val="none" w:sz="0" w:space="0" w:color="auto"/>
            <w:right w:val="none" w:sz="0" w:space="0" w:color="auto"/>
          </w:divBdr>
        </w:div>
        <w:div w:id="990258614">
          <w:marLeft w:val="446"/>
          <w:marRight w:val="0"/>
          <w:marTop w:val="0"/>
          <w:marBottom w:val="0"/>
          <w:divBdr>
            <w:top w:val="none" w:sz="0" w:space="0" w:color="auto"/>
            <w:left w:val="none" w:sz="0" w:space="0" w:color="auto"/>
            <w:bottom w:val="none" w:sz="0" w:space="0" w:color="auto"/>
            <w:right w:val="none" w:sz="0" w:space="0" w:color="auto"/>
          </w:divBdr>
        </w:div>
        <w:div w:id="1038820067">
          <w:marLeft w:val="446"/>
          <w:marRight w:val="0"/>
          <w:marTop w:val="0"/>
          <w:marBottom w:val="0"/>
          <w:divBdr>
            <w:top w:val="none" w:sz="0" w:space="0" w:color="auto"/>
            <w:left w:val="none" w:sz="0" w:space="0" w:color="auto"/>
            <w:bottom w:val="none" w:sz="0" w:space="0" w:color="auto"/>
            <w:right w:val="none" w:sz="0" w:space="0" w:color="auto"/>
          </w:divBdr>
        </w:div>
        <w:div w:id="1206406783">
          <w:marLeft w:val="446"/>
          <w:marRight w:val="0"/>
          <w:marTop w:val="0"/>
          <w:marBottom w:val="0"/>
          <w:divBdr>
            <w:top w:val="none" w:sz="0" w:space="0" w:color="auto"/>
            <w:left w:val="none" w:sz="0" w:space="0" w:color="auto"/>
            <w:bottom w:val="none" w:sz="0" w:space="0" w:color="auto"/>
            <w:right w:val="none" w:sz="0" w:space="0" w:color="auto"/>
          </w:divBdr>
        </w:div>
        <w:div w:id="1248148263">
          <w:marLeft w:val="446"/>
          <w:marRight w:val="0"/>
          <w:marTop w:val="0"/>
          <w:marBottom w:val="0"/>
          <w:divBdr>
            <w:top w:val="none" w:sz="0" w:space="0" w:color="auto"/>
            <w:left w:val="none" w:sz="0" w:space="0" w:color="auto"/>
            <w:bottom w:val="none" w:sz="0" w:space="0" w:color="auto"/>
            <w:right w:val="none" w:sz="0" w:space="0" w:color="auto"/>
          </w:divBdr>
        </w:div>
        <w:div w:id="1615675819">
          <w:marLeft w:val="446"/>
          <w:marRight w:val="0"/>
          <w:marTop w:val="0"/>
          <w:marBottom w:val="0"/>
          <w:divBdr>
            <w:top w:val="none" w:sz="0" w:space="0" w:color="auto"/>
            <w:left w:val="none" w:sz="0" w:space="0" w:color="auto"/>
            <w:bottom w:val="none" w:sz="0" w:space="0" w:color="auto"/>
            <w:right w:val="none" w:sz="0" w:space="0" w:color="auto"/>
          </w:divBdr>
        </w:div>
        <w:div w:id="1757555137">
          <w:marLeft w:val="446"/>
          <w:marRight w:val="0"/>
          <w:marTop w:val="0"/>
          <w:marBottom w:val="0"/>
          <w:divBdr>
            <w:top w:val="none" w:sz="0" w:space="0" w:color="auto"/>
            <w:left w:val="none" w:sz="0" w:space="0" w:color="auto"/>
            <w:bottom w:val="none" w:sz="0" w:space="0" w:color="auto"/>
            <w:right w:val="none" w:sz="0" w:space="0" w:color="auto"/>
          </w:divBdr>
        </w:div>
        <w:div w:id="18667463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udHotline@cn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arroll@cnf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4548023EE424CBBEB247183937D3B" ma:contentTypeVersion="7" ma:contentTypeDescription="Create a new document." ma:contentTypeScope="" ma:versionID="d1757e2d10bca5eb152c1656c47ab414">
  <xsd:schema xmlns:xsd="http://www.w3.org/2001/XMLSchema" xmlns:xs="http://www.w3.org/2001/XMLSchema" xmlns:p="http://schemas.microsoft.com/office/2006/metadata/properties" xmlns:ns2="fe30efd0-9347-4a16-ba73-3aad7e387fb7" xmlns:ns3="b916030e-af41-4f27-ab67-a6c8f3d78f14" targetNamespace="http://schemas.microsoft.com/office/2006/metadata/properties" ma:root="true" ma:fieldsID="642c3c75e22bed659997732756bb36f0" ns2:_="" ns3:_="">
    <xsd:import namespace="fe30efd0-9347-4a16-ba73-3aad7e387fb7"/>
    <xsd:import namespace="b916030e-af41-4f27-ab67-a6c8f3d78f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0efd0-9347-4a16-ba73-3aad7e387f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6030e-af41-4f27-ab67-a6c8f3d78f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2452-659F-4A57-B884-1A4100B8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0efd0-9347-4a16-ba73-3aad7e387fb7"/>
    <ds:schemaRef ds:uri="b916030e-af41-4f27-ab67-a6c8f3d78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AFCC5-4752-4A7B-A7AB-8C78CFA37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69BF7-C7B0-4808-BC68-F88154D1B0BF}">
  <ds:schemaRefs>
    <ds:schemaRef ds:uri="http://schemas.microsoft.com/sharepoint/v3/contenttype/forms"/>
  </ds:schemaRefs>
</ds:datastoreItem>
</file>

<file path=customXml/itemProps4.xml><?xml version="1.0" encoding="utf-8"?>
<ds:datastoreItem xmlns:ds="http://schemas.openxmlformats.org/officeDocument/2006/customXml" ds:itemID="{F5E3BAEE-6AF5-4C87-8C63-33A4B87B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Schunk</dc:creator>
  <cp:keywords/>
  <dc:description/>
  <cp:lastModifiedBy>Amanda Grossi</cp:lastModifiedBy>
  <cp:revision>2</cp:revision>
  <cp:lastPrinted>2015-09-22T14:04:00Z</cp:lastPrinted>
  <dcterms:created xsi:type="dcterms:W3CDTF">2017-09-27T21:31:00Z</dcterms:created>
  <dcterms:modified xsi:type="dcterms:W3CDTF">2017-09-27T21:31:00Z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0x0101009DA4548023EE424CBBEB247183937D3B</vt:lpwstr>
  </property>
</Properties>
</file>